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60ACA5" w14:textId="75B1F6EF" w:rsidR="00667A00" w:rsidRPr="00D72053" w:rsidRDefault="004C3DFA" w:rsidP="00E1522B">
      <w:pPr>
        <w:spacing w:after="0"/>
        <w:jc w:val="center"/>
        <w:rPr>
          <w:rFonts w:ascii="Times New Roman" w:hAnsi="Times New Roman"/>
          <w:b/>
          <w:sz w:val="24"/>
          <w:szCs w:val="24"/>
        </w:rPr>
      </w:pPr>
      <w:bookmarkStart w:id="0" w:name="_GoBack"/>
      <w:bookmarkEnd w:id="0"/>
      <w:r w:rsidRPr="00D72053">
        <w:rPr>
          <w:rFonts w:ascii="Times New Roman" w:hAnsi="Times New Roman"/>
          <w:noProof/>
          <w:sz w:val="24"/>
          <w:szCs w:val="24"/>
          <w:lang w:val="en-GB" w:eastAsia="en-GB"/>
        </w:rPr>
        <w:drawing>
          <wp:inline distT="0" distB="0" distL="0" distR="0" wp14:anchorId="3EA556DE" wp14:editId="330C309E">
            <wp:extent cx="553085" cy="56324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3085" cy="563245"/>
                    </a:xfrm>
                    <a:prstGeom prst="rect">
                      <a:avLst/>
                    </a:prstGeom>
                    <a:noFill/>
                    <a:ln>
                      <a:noFill/>
                    </a:ln>
                  </pic:spPr>
                </pic:pic>
              </a:graphicData>
            </a:graphic>
          </wp:inline>
        </w:drawing>
      </w:r>
    </w:p>
    <w:p w14:paraId="3DCC20A4" w14:textId="77777777" w:rsidR="00674C40" w:rsidRPr="00D72053" w:rsidRDefault="00674C40" w:rsidP="00E1522B">
      <w:pPr>
        <w:spacing w:after="0"/>
        <w:jc w:val="center"/>
        <w:rPr>
          <w:rFonts w:ascii="Times New Roman" w:hAnsi="Times New Roman"/>
          <w:b/>
          <w:bCs/>
          <w:sz w:val="24"/>
          <w:szCs w:val="24"/>
        </w:rPr>
      </w:pPr>
    </w:p>
    <w:p w14:paraId="5B0D003A" w14:textId="77777777" w:rsidR="00667A00" w:rsidRPr="00D72053" w:rsidRDefault="00667A00" w:rsidP="00E1522B">
      <w:pPr>
        <w:spacing w:after="0"/>
        <w:jc w:val="center"/>
        <w:rPr>
          <w:rFonts w:ascii="Times New Roman" w:hAnsi="Times New Roman"/>
          <w:b/>
          <w:bCs/>
          <w:sz w:val="24"/>
          <w:szCs w:val="24"/>
        </w:rPr>
      </w:pPr>
      <w:r w:rsidRPr="00D72053">
        <w:rPr>
          <w:rFonts w:ascii="Times New Roman" w:hAnsi="Times New Roman"/>
          <w:b/>
          <w:bCs/>
          <w:sz w:val="24"/>
          <w:szCs w:val="24"/>
        </w:rPr>
        <w:t>VIEŠŲJŲ PIRKIMŲ TARNYBA</w:t>
      </w:r>
    </w:p>
    <w:p w14:paraId="1CCEAA4F" w14:textId="77777777" w:rsidR="00667A00" w:rsidRPr="00D72053" w:rsidRDefault="00667A00" w:rsidP="00E1522B">
      <w:pPr>
        <w:spacing w:after="0"/>
        <w:jc w:val="center"/>
        <w:rPr>
          <w:rFonts w:ascii="Times New Roman" w:hAnsi="Times New Roman"/>
          <w:b/>
          <w:bCs/>
          <w:sz w:val="24"/>
          <w:szCs w:val="24"/>
        </w:rPr>
      </w:pPr>
      <w:r w:rsidRPr="00D72053">
        <w:rPr>
          <w:rFonts w:ascii="Times New Roman" w:hAnsi="Times New Roman"/>
          <w:b/>
          <w:bCs/>
          <w:sz w:val="24"/>
          <w:szCs w:val="24"/>
        </w:rPr>
        <w:t>KONTROLĖS SKYRIUS</w:t>
      </w:r>
    </w:p>
    <w:p w14:paraId="3F684821" w14:textId="77777777" w:rsidR="00674C40" w:rsidRPr="00D72053" w:rsidRDefault="00674C40" w:rsidP="00E1522B">
      <w:pPr>
        <w:spacing w:after="0"/>
        <w:jc w:val="center"/>
        <w:rPr>
          <w:rFonts w:ascii="Times New Roman" w:hAnsi="Times New Roman"/>
          <w:b/>
          <w:bCs/>
          <w:sz w:val="24"/>
          <w:szCs w:val="24"/>
        </w:rPr>
      </w:pPr>
    </w:p>
    <w:p w14:paraId="1EA3F301" w14:textId="77777777" w:rsidR="006760D4" w:rsidRPr="00D72053" w:rsidRDefault="006760D4" w:rsidP="00E1522B">
      <w:pPr>
        <w:spacing w:after="0"/>
        <w:jc w:val="center"/>
        <w:rPr>
          <w:rFonts w:ascii="Times New Roman" w:hAnsi="Times New Roman"/>
          <w:b/>
          <w:bCs/>
          <w:sz w:val="24"/>
          <w:szCs w:val="24"/>
        </w:rPr>
      </w:pPr>
      <w:r w:rsidRPr="00D72053">
        <w:rPr>
          <w:rFonts w:ascii="Times New Roman" w:hAnsi="Times New Roman"/>
          <w:b/>
          <w:bCs/>
          <w:sz w:val="24"/>
          <w:szCs w:val="24"/>
        </w:rPr>
        <w:t>PI</w:t>
      </w:r>
      <w:r w:rsidR="00CD5FFF" w:rsidRPr="00D72053">
        <w:rPr>
          <w:rFonts w:ascii="Times New Roman" w:hAnsi="Times New Roman"/>
          <w:b/>
          <w:bCs/>
          <w:sz w:val="24"/>
          <w:szCs w:val="24"/>
        </w:rPr>
        <w:t>R</w:t>
      </w:r>
      <w:r w:rsidRPr="00D72053">
        <w:rPr>
          <w:rFonts w:ascii="Times New Roman" w:hAnsi="Times New Roman"/>
          <w:b/>
          <w:bCs/>
          <w:sz w:val="24"/>
          <w:szCs w:val="24"/>
        </w:rPr>
        <w:t>KIMŲ VERTINIMO IŠVADA</w:t>
      </w:r>
    </w:p>
    <w:p w14:paraId="12AE3F1D" w14:textId="77777777" w:rsidR="00674C40" w:rsidRPr="00D72053" w:rsidRDefault="00674C40" w:rsidP="00E1522B">
      <w:pPr>
        <w:spacing w:after="0"/>
        <w:rPr>
          <w:rFonts w:ascii="Times New Roman" w:hAnsi="Times New Roman"/>
          <w:b/>
          <w:sz w:val="24"/>
          <w:szCs w:val="24"/>
        </w:rPr>
      </w:pPr>
    </w:p>
    <w:p w14:paraId="41B7F588" w14:textId="77777777" w:rsidR="00674C40" w:rsidRPr="00D72053" w:rsidRDefault="00674C40" w:rsidP="00E1522B">
      <w:pPr>
        <w:spacing w:after="0"/>
        <w:jc w:val="center"/>
        <w:rPr>
          <w:rFonts w:ascii="Times New Roman" w:hAnsi="Times New Roman"/>
          <w:sz w:val="24"/>
          <w:szCs w:val="24"/>
        </w:rPr>
      </w:pPr>
      <w:r w:rsidRPr="00D72053">
        <w:rPr>
          <w:rFonts w:ascii="Times New Roman" w:hAnsi="Times New Roman"/>
          <w:sz w:val="24"/>
          <w:szCs w:val="24"/>
        </w:rPr>
        <w:t>201</w:t>
      </w:r>
      <w:r w:rsidR="0090655C" w:rsidRPr="00D72053">
        <w:rPr>
          <w:rFonts w:ascii="Times New Roman" w:hAnsi="Times New Roman"/>
          <w:sz w:val="24"/>
          <w:szCs w:val="24"/>
        </w:rPr>
        <w:t>7</w:t>
      </w:r>
      <w:r w:rsidRPr="00D72053">
        <w:rPr>
          <w:rFonts w:ascii="Times New Roman" w:hAnsi="Times New Roman"/>
          <w:sz w:val="24"/>
          <w:szCs w:val="24"/>
        </w:rPr>
        <w:t xml:space="preserve"> m. </w:t>
      </w:r>
      <w:r w:rsidR="00BF0C25">
        <w:rPr>
          <w:rFonts w:ascii="Times New Roman" w:hAnsi="Times New Roman"/>
          <w:sz w:val="24"/>
          <w:szCs w:val="24"/>
        </w:rPr>
        <w:t>rugsėjo</w:t>
      </w:r>
      <w:r w:rsidR="003E6595">
        <w:rPr>
          <w:rFonts w:ascii="Times New Roman" w:hAnsi="Times New Roman"/>
          <w:sz w:val="24"/>
          <w:szCs w:val="24"/>
        </w:rPr>
        <w:t xml:space="preserve">            </w:t>
      </w:r>
      <w:r w:rsidRPr="00D72053">
        <w:rPr>
          <w:rFonts w:ascii="Times New Roman" w:hAnsi="Times New Roman"/>
          <w:sz w:val="24"/>
          <w:szCs w:val="24"/>
        </w:rPr>
        <w:t>d. Nr. 4S-</w:t>
      </w:r>
    </w:p>
    <w:p w14:paraId="49532C83" w14:textId="77777777" w:rsidR="00674C40" w:rsidRPr="00D72053" w:rsidRDefault="00674C40" w:rsidP="00E1522B">
      <w:pPr>
        <w:spacing w:after="0"/>
        <w:jc w:val="center"/>
        <w:rPr>
          <w:rFonts w:ascii="Times New Roman" w:hAnsi="Times New Roman"/>
          <w:sz w:val="24"/>
          <w:szCs w:val="24"/>
        </w:rPr>
      </w:pPr>
    </w:p>
    <w:p w14:paraId="16DF69B8" w14:textId="77777777" w:rsidR="00667A00" w:rsidRPr="00D72053" w:rsidRDefault="00667A00" w:rsidP="00E1522B">
      <w:pPr>
        <w:spacing w:after="0"/>
        <w:jc w:val="center"/>
        <w:rPr>
          <w:rFonts w:ascii="Times New Roman" w:hAnsi="Times New Roman"/>
          <w:sz w:val="24"/>
          <w:szCs w:val="24"/>
        </w:rPr>
      </w:pPr>
      <w:r w:rsidRPr="00D72053">
        <w:rPr>
          <w:rFonts w:ascii="Times New Roman" w:hAnsi="Times New Roman"/>
          <w:sz w:val="24"/>
          <w:szCs w:val="24"/>
        </w:rPr>
        <w:t>Vilnius</w:t>
      </w:r>
    </w:p>
    <w:p w14:paraId="13E7804D" w14:textId="77777777" w:rsidR="00674C40" w:rsidRPr="00D72053" w:rsidRDefault="00674C40" w:rsidP="00E1522B">
      <w:pPr>
        <w:spacing w:after="0"/>
        <w:rPr>
          <w:rFonts w:ascii="Times New Roman" w:hAnsi="Times New Roman"/>
          <w:sz w:val="24"/>
          <w:szCs w:val="24"/>
        </w:rPr>
      </w:pPr>
    </w:p>
    <w:p w14:paraId="3331D640" w14:textId="77777777" w:rsidR="00AB3B89" w:rsidRPr="00D72053" w:rsidRDefault="00AB3B89" w:rsidP="00E1522B">
      <w:pPr>
        <w:spacing w:after="0"/>
        <w:rPr>
          <w:rFonts w:ascii="Times New Roman" w:hAnsi="Times New Roman"/>
          <w:sz w:val="24"/>
          <w:szCs w:val="24"/>
        </w:rPr>
      </w:pPr>
    </w:p>
    <w:p w14:paraId="19F52BA5" w14:textId="77777777" w:rsidR="0027616E" w:rsidRPr="00F95413" w:rsidRDefault="0027616E" w:rsidP="0027616E">
      <w:pPr>
        <w:spacing w:after="0"/>
        <w:ind w:left="-142" w:firstLine="993"/>
        <w:rPr>
          <w:rFonts w:ascii="Times New Roman" w:hAnsi="Times New Roman"/>
          <w:sz w:val="24"/>
          <w:szCs w:val="24"/>
        </w:rPr>
      </w:pPr>
      <w:r w:rsidRPr="00F95413">
        <w:rPr>
          <w:rFonts w:ascii="Times New Roman" w:hAnsi="Times New Roman"/>
          <w:bCs/>
          <w:sz w:val="24"/>
          <w:szCs w:val="24"/>
        </w:rPr>
        <w:t xml:space="preserve">Viešųjų pirkimų tarnyba (toliau – Tarnyba), vadovaudamasi Lietuvos Respublikos viešųjų pirkimų įstatymo 95 straipsnio 1 dalies 2 punktu, įvertino </w:t>
      </w:r>
      <w:r>
        <w:rPr>
          <w:rFonts w:ascii="Times New Roman" w:hAnsi="Times New Roman"/>
          <w:sz w:val="24"/>
          <w:szCs w:val="24"/>
        </w:rPr>
        <w:t>Valstybės tarnybos departamento</w:t>
      </w:r>
      <w:r w:rsidRPr="00F95413">
        <w:rPr>
          <w:rFonts w:ascii="Times New Roman" w:hAnsi="Times New Roman"/>
          <w:bCs/>
          <w:sz w:val="24"/>
          <w:szCs w:val="24"/>
        </w:rPr>
        <w:t xml:space="preserve"> (toliau – Perkančioji organizacija) pateiktus dokumentus, susijusius su vykd</w:t>
      </w:r>
      <w:r>
        <w:rPr>
          <w:rFonts w:ascii="Times New Roman" w:hAnsi="Times New Roman"/>
          <w:bCs/>
          <w:sz w:val="24"/>
          <w:szCs w:val="24"/>
        </w:rPr>
        <w:t>om</w:t>
      </w:r>
      <w:r w:rsidRPr="00F95413">
        <w:rPr>
          <w:rFonts w:ascii="Times New Roman" w:hAnsi="Times New Roman"/>
          <w:bCs/>
          <w:sz w:val="24"/>
          <w:szCs w:val="24"/>
        </w:rPr>
        <w:t>u viešuoju pirkimu.</w:t>
      </w:r>
    </w:p>
    <w:p w14:paraId="6D981CF9" w14:textId="77777777" w:rsidR="00AB3B89" w:rsidRPr="00D72053" w:rsidRDefault="00AB3B89" w:rsidP="00E1522B">
      <w:pPr>
        <w:spacing w:after="0"/>
        <w:rPr>
          <w:rFonts w:ascii="Times New Roman" w:hAnsi="Times New Roman"/>
          <w:sz w:val="24"/>
          <w:szCs w:val="24"/>
        </w:rPr>
      </w:pPr>
    </w:p>
    <w:p w14:paraId="7F9C79F5" w14:textId="77777777" w:rsidR="00AB1809" w:rsidRPr="00D72053" w:rsidRDefault="00AB1809" w:rsidP="00E1522B">
      <w:pPr>
        <w:spacing w:after="0"/>
        <w:jc w:val="center"/>
        <w:rPr>
          <w:rFonts w:ascii="Times New Roman" w:hAnsi="Times New Roman"/>
          <w:b/>
          <w:sz w:val="24"/>
          <w:szCs w:val="24"/>
        </w:rPr>
      </w:pPr>
      <w:r w:rsidRPr="00D72053">
        <w:rPr>
          <w:rFonts w:ascii="Times New Roman" w:hAnsi="Times New Roman"/>
          <w:b/>
          <w:sz w:val="24"/>
          <w:szCs w:val="24"/>
        </w:rPr>
        <w:t>I dalis.</w:t>
      </w:r>
      <w:r w:rsidR="007E4301" w:rsidRPr="00D72053">
        <w:rPr>
          <w:rFonts w:ascii="Times New Roman" w:hAnsi="Times New Roman"/>
          <w:b/>
          <w:sz w:val="24"/>
          <w:szCs w:val="24"/>
        </w:rPr>
        <w:t xml:space="preserve"> Bendra informacija</w:t>
      </w:r>
    </w:p>
    <w:p w14:paraId="30FFB5CC" w14:textId="77777777" w:rsidR="00674C40" w:rsidRPr="00D72053" w:rsidRDefault="00674C40" w:rsidP="00E1522B">
      <w:pPr>
        <w:spacing w:after="0"/>
        <w:jc w:val="center"/>
        <w:rPr>
          <w:rFonts w:ascii="Times New Roman" w:hAnsi="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934"/>
      </w:tblGrid>
      <w:tr w:rsidR="00AB1809" w:rsidRPr="00D72053" w14:paraId="09D2847C" w14:textId="77777777" w:rsidTr="00674C40">
        <w:tc>
          <w:tcPr>
            <w:tcW w:w="4672" w:type="dxa"/>
            <w:shd w:val="clear" w:color="auto" w:fill="auto"/>
            <w:vAlign w:val="center"/>
          </w:tcPr>
          <w:p w14:paraId="5CEE2E72" w14:textId="77777777" w:rsidR="00AB1809" w:rsidRPr="00D72053" w:rsidRDefault="00AB1809" w:rsidP="00DE35DF">
            <w:pPr>
              <w:spacing w:before="60" w:after="60"/>
              <w:rPr>
                <w:rFonts w:ascii="Times New Roman" w:hAnsi="Times New Roman"/>
                <w:sz w:val="24"/>
                <w:szCs w:val="24"/>
              </w:rPr>
            </w:pPr>
            <w:r w:rsidRPr="00D72053">
              <w:rPr>
                <w:rFonts w:ascii="Times New Roman" w:hAnsi="Times New Roman"/>
                <w:sz w:val="24"/>
                <w:szCs w:val="24"/>
              </w:rPr>
              <w:t xml:space="preserve">Pirkimo </w:t>
            </w:r>
            <w:r w:rsidR="007E4301" w:rsidRPr="00D72053">
              <w:rPr>
                <w:rFonts w:ascii="Times New Roman" w:hAnsi="Times New Roman"/>
                <w:sz w:val="24"/>
                <w:szCs w:val="24"/>
              </w:rPr>
              <w:t xml:space="preserve">pavadinimas, </w:t>
            </w:r>
            <w:r w:rsidRPr="00D72053">
              <w:rPr>
                <w:rFonts w:ascii="Times New Roman" w:hAnsi="Times New Roman"/>
                <w:sz w:val="24"/>
                <w:szCs w:val="24"/>
              </w:rPr>
              <w:t>numeris (jeigu skelbtas)</w:t>
            </w:r>
            <w:r w:rsidR="007E4301" w:rsidRPr="00D72053">
              <w:rPr>
                <w:rFonts w:ascii="Times New Roman" w:hAnsi="Times New Roman"/>
                <w:sz w:val="24"/>
                <w:szCs w:val="24"/>
              </w:rPr>
              <w:t>,</w:t>
            </w:r>
            <w:r w:rsidRPr="00D72053">
              <w:rPr>
                <w:rFonts w:ascii="Times New Roman" w:hAnsi="Times New Roman"/>
                <w:sz w:val="24"/>
                <w:szCs w:val="24"/>
              </w:rPr>
              <w:t xml:space="preserve"> pirkimo paskelbimo (kvietimo pateikti pasiūlymą) data</w:t>
            </w:r>
          </w:p>
        </w:tc>
        <w:tc>
          <w:tcPr>
            <w:tcW w:w="4934" w:type="dxa"/>
            <w:shd w:val="clear" w:color="auto" w:fill="auto"/>
            <w:vAlign w:val="center"/>
          </w:tcPr>
          <w:p w14:paraId="3878B55D" w14:textId="77777777" w:rsidR="00AB1809" w:rsidRPr="00D72053" w:rsidRDefault="00BC3DE5" w:rsidP="00DE35DF">
            <w:pPr>
              <w:spacing w:before="60" w:after="60"/>
              <w:rPr>
                <w:rFonts w:ascii="Times New Roman" w:hAnsi="Times New Roman"/>
                <w:sz w:val="24"/>
                <w:szCs w:val="24"/>
              </w:rPr>
            </w:pPr>
            <w:r w:rsidRPr="00BC3DE5">
              <w:rPr>
                <w:rFonts w:ascii="Times New Roman" w:hAnsi="Times New Roman"/>
                <w:i/>
                <w:sz w:val="24"/>
                <w:szCs w:val="24"/>
              </w:rPr>
              <w:t>„Mokymų „Valstybės ir savivaldybių institucijų ir įstaigų vidurinės grandies vadovų strateginių kompetencijų centralizuotas stiprinimas“ paslaugų pirkimas</w:t>
            </w:r>
            <w:r w:rsidRPr="00BC3DE5">
              <w:rPr>
                <w:rFonts w:ascii="Times New Roman" w:hAnsi="Times New Roman"/>
                <w:bCs/>
                <w:i/>
                <w:sz w:val="24"/>
                <w:szCs w:val="24"/>
              </w:rPr>
              <w:t>“</w:t>
            </w:r>
            <w:r w:rsidRPr="00BC3DE5">
              <w:rPr>
                <w:rFonts w:ascii="Times New Roman" w:hAnsi="Times New Roman"/>
                <w:sz w:val="24"/>
                <w:szCs w:val="24"/>
              </w:rPr>
              <w:t xml:space="preserve"> </w:t>
            </w:r>
            <w:r w:rsidRPr="00BC3DE5">
              <w:rPr>
                <w:rFonts w:ascii="Times New Roman" w:hAnsi="Times New Roman"/>
                <w:bCs/>
                <w:sz w:val="24"/>
                <w:szCs w:val="24"/>
              </w:rPr>
              <w:t>(Centrinėje viešųjų pirkimų informacinėje sistemoje skelbtas 2017 m. gegužės 18 d., pirkimo Nr. 187283) (toliau – Pirkimas)</w:t>
            </w:r>
            <w:r w:rsidR="0026777C" w:rsidRPr="00D72053">
              <w:rPr>
                <w:rFonts w:ascii="Times New Roman" w:hAnsi="Times New Roman"/>
                <w:bCs/>
                <w:sz w:val="24"/>
                <w:szCs w:val="24"/>
              </w:rPr>
              <w:t>.</w:t>
            </w:r>
          </w:p>
        </w:tc>
      </w:tr>
      <w:tr w:rsidR="00AB1809" w:rsidRPr="00D72053" w14:paraId="3705402D" w14:textId="77777777" w:rsidTr="00674C40">
        <w:tc>
          <w:tcPr>
            <w:tcW w:w="4672" w:type="dxa"/>
            <w:shd w:val="clear" w:color="auto" w:fill="auto"/>
            <w:vAlign w:val="center"/>
          </w:tcPr>
          <w:p w14:paraId="6C313866" w14:textId="77777777" w:rsidR="00AB1809" w:rsidRPr="00D72053" w:rsidRDefault="00AB1809" w:rsidP="00DE35DF">
            <w:pPr>
              <w:spacing w:before="60" w:after="60"/>
              <w:rPr>
                <w:rFonts w:ascii="Times New Roman" w:hAnsi="Times New Roman"/>
                <w:sz w:val="24"/>
                <w:szCs w:val="24"/>
              </w:rPr>
            </w:pPr>
            <w:r w:rsidRPr="00D72053">
              <w:rPr>
                <w:rFonts w:ascii="Times New Roman" w:hAnsi="Times New Roman"/>
                <w:sz w:val="24"/>
                <w:szCs w:val="24"/>
              </w:rPr>
              <w:t>Pirkimo būdas</w:t>
            </w:r>
          </w:p>
        </w:tc>
        <w:tc>
          <w:tcPr>
            <w:tcW w:w="4934" w:type="dxa"/>
            <w:shd w:val="clear" w:color="auto" w:fill="auto"/>
            <w:vAlign w:val="center"/>
          </w:tcPr>
          <w:p w14:paraId="374D9977" w14:textId="77777777" w:rsidR="00AB1809" w:rsidRPr="00D72053" w:rsidRDefault="00FD4497" w:rsidP="00DE35DF">
            <w:pPr>
              <w:spacing w:before="60" w:after="60"/>
              <w:rPr>
                <w:rFonts w:ascii="Times New Roman" w:hAnsi="Times New Roman"/>
                <w:sz w:val="24"/>
                <w:szCs w:val="24"/>
              </w:rPr>
            </w:pPr>
            <w:r w:rsidRPr="00D72053">
              <w:rPr>
                <w:rFonts w:ascii="Times New Roman" w:hAnsi="Times New Roman"/>
                <w:bCs/>
                <w:sz w:val="24"/>
                <w:szCs w:val="24"/>
              </w:rPr>
              <w:t>Supaprastintas a</w:t>
            </w:r>
            <w:r w:rsidR="00B1737D" w:rsidRPr="00D72053">
              <w:rPr>
                <w:rFonts w:ascii="Times New Roman" w:hAnsi="Times New Roman"/>
                <w:bCs/>
                <w:sz w:val="24"/>
                <w:szCs w:val="24"/>
              </w:rPr>
              <w:t xml:space="preserve">tviras </w:t>
            </w:r>
            <w:r w:rsidR="00674C40" w:rsidRPr="00D72053">
              <w:rPr>
                <w:rFonts w:ascii="Times New Roman" w:hAnsi="Times New Roman"/>
                <w:bCs/>
                <w:sz w:val="24"/>
                <w:szCs w:val="24"/>
              </w:rPr>
              <w:t>konkursas</w:t>
            </w:r>
            <w:r w:rsidR="00E55094" w:rsidRPr="00D72053">
              <w:rPr>
                <w:rFonts w:ascii="Times New Roman" w:hAnsi="Times New Roman"/>
                <w:bCs/>
                <w:sz w:val="24"/>
                <w:szCs w:val="24"/>
              </w:rPr>
              <w:t>.</w:t>
            </w:r>
          </w:p>
        </w:tc>
      </w:tr>
      <w:tr w:rsidR="00AB1809" w:rsidRPr="00D72053" w14:paraId="4DCB5568" w14:textId="77777777" w:rsidTr="00674C40">
        <w:tc>
          <w:tcPr>
            <w:tcW w:w="4672" w:type="dxa"/>
            <w:shd w:val="clear" w:color="auto" w:fill="auto"/>
            <w:vAlign w:val="center"/>
          </w:tcPr>
          <w:p w14:paraId="5F7BBEEF" w14:textId="77777777" w:rsidR="00AB1809" w:rsidRPr="00D72053" w:rsidRDefault="00AB1809" w:rsidP="00DE35DF">
            <w:pPr>
              <w:spacing w:before="60" w:after="60"/>
              <w:rPr>
                <w:rFonts w:ascii="Times New Roman" w:hAnsi="Times New Roman"/>
                <w:sz w:val="24"/>
                <w:szCs w:val="24"/>
              </w:rPr>
            </w:pPr>
            <w:r w:rsidRPr="00D72053">
              <w:rPr>
                <w:rFonts w:ascii="Times New Roman" w:hAnsi="Times New Roman"/>
                <w:sz w:val="24"/>
                <w:szCs w:val="24"/>
              </w:rPr>
              <w:t xml:space="preserve">Planuojama </w:t>
            </w:r>
            <w:r w:rsidR="00CD5FFF" w:rsidRPr="00D72053">
              <w:rPr>
                <w:rFonts w:ascii="Times New Roman" w:hAnsi="Times New Roman"/>
                <w:sz w:val="24"/>
                <w:szCs w:val="24"/>
              </w:rPr>
              <w:t>(nenurodoma, jeigu pirkimas vertinamas iki vokų su pasiūlymais atplėšimo procedūros)</w:t>
            </w:r>
            <w:r w:rsidRPr="00D72053">
              <w:rPr>
                <w:rFonts w:ascii="Times New Roman" w:hAnsi="Times New Roman"/>
                <w:sz w:val="24"/>
                <w:szCs w:val="24"/>
              </w:rPr>
              <w:t xml:space="preserve"> pirkimo sutarties vertė, su PVM/be PVM</w:t>
            </w:r>
          </w:p>
        </w:tc>
        <w:tc>
          <w:tcPr>
            <w:tcW w:w="4934" w:type="dxa"/>
            <w:shd w:val="clear" w:color="auto" w:fill="auto"/>
            <w:vAlign w:val="center"/>
          </w:tcPr>
          <w:p w14:paraId="2958C6B2" w14:textId="77777777" w:rsidR="00F26A7D" w:rsidRPr="00D72053" w:rsidRDefault="00E70C6F" w:rsidP="00DE35DF">
            <w:pPr>
              <w:spacing w:before="60" w:after="60"/>
              <w:rPr>
                <w:rFonts w:ascii="Times New Roman" w:hAnsi="Times New Roman"/>
                <w:sz w:val="24"/>
                <w:szCs w:val="24"/>
              </w:rPr>
            </w:pPr>
            <w:r w:rsidRPr="00D72053">
              <w:rPr>
                <w:rFonts w:ascii="Times New Roman" w:hAnsi="Times New Roman"/>
                <w:sz w:val="24"/>
                <w:szCs w:val="24"/>
              </w:rPr>
              <w:t>–</w:t>
            </w:r>
          </w:p>
        </w:tc>
      </w:tr>
      <w:tr w:rsidR="00AB1809" w:rsidRPr="00D72053" w14:paraId="07C845FA" w14:textId="77777777" w:rsidTr="00674C40">
        <w:tc>
          <w:tcPr>
            <w:tcW w:w="4672" w:type="dxa"/>
            <w:shd w:val="clear" w:color="auto" w:fill="auto"/>
            <w:vAlign w:val="center"/>
          </w:tcPr>
          <w:p w14:paraId="0C986035" w14:textId="77777777" w:rsidR="00AB1809" w:rsidRPr="00D72053" w:rsidRDefault="00AB1809" w:rsidP="00DE35DF">
            <w:pPr>
              <w:spacing w:before="60" w:after="60"/>
              <w:rPr>
                <w:rFonts w:ascii="Times New Roman" w:hAnsi="Times New Roman"/>
                <w:sz w:val="24"/>
                <w:szCs w:val="24"/>
              </w:rPr>
            </w:pPr>
            <w:r w:rsidRPr="00D72053">
              <w:rPr>
                <w:rFonts w:ascii="Times New Roman" w:hAnsi="Times New Roman"/>
                <w:sz w:val="24"/>
                <w:szCs w:val="24"/>
              </w:rPr>
              <w:t xml:space="preserve">Pirkimas finansuojamas ES lėšomis, projekto pavadinimas, </w:t>
            </w:r>
            <w:r w:rsidR="00BA3D29" w:rsidRPr="00D72053">
              <w:rPr>
                <w:rFonts w:ascii="Times New Roman" w:hAnsi="Times New Roman"/>
                <w:sz w:val="24"/>
                <w:szCs w:val="24"/>
              </w:rPr>
              <w:t>Įgyvendinančioji institucija</w:t>
            </w:r>
          </w:p>
        </w:tc>
        <w:tc>
          <w:tcPr>
            <w:tcW w:w="4934" w:type="dxa"/>
            <w:shd w:val="clear" w:color="auto" w:fill="auto"/>
            <w:vAlign w:val="center"/>
          </w:tcPr>
          <w:p w14:paraId="4CAF9A89" w14:textId="77777777" w:rsidR="00AB1809" w:rsidRPr="00D72053" w:rsidRDefault="00AB6C4F" w:rsidP="00DE35DF">
            <w:pPr>
              <w:spacing w:before="60" w:after="60"/>
              <w:rPr>
                <w:rFonts w:ascii="Times New Roman" w:hAnsi="Times New Roman"/>
                <w:sz w:val="24"/>
                <w:szCs w:val="24"/>
              </w:rPr>
            </w:pPr>
            <w:r w:rsidRPr="00AB6C4F">
              <w:rPr>
                <w:rFonts w:ascii="Times New Roman" w:hAnsi="Times New Roman"/>
                <w:sz w:val="24"/>
                <w:szCs w:val="24"/>
              </w:rPr>
              <w:t>Pirkimą planuojama finansuoti iš Europos Sąjungos struktūrinės paramos fondo ir Lietuvos Respublikos valstybės biudžeto lėšų. Paslaugų viešojo pirkimo-pardavimo sutartis bus pasirašoma tik gavus Europos Sąjungos struktūrinių fondų lėšas, t.</w:t>
            </w:r>
            <w:r w:rsidR="00E850C0">
              <w:rPr>
                <w:rFonts w:ascii="Times New Roman" w:hAnsi="Times New Roman"/>
                <w:sz w:val="24"/>
                <w:szCs w:val="24"/>
              </w:rPr>
              <w:t xml:space="preserve"> </w:t>
            </w:r>
            <w:r w:rsidRPr="00AB6C4F">
              <w:rPr>
                <w:rFonts w:ascii="Times New Roman" w:hAnsi="Times New Roman"/>
                <w:sz w:val="24"/>
                <w:szCs w:val="24"/>
              </w:rPr>
              <w:t>y.</w:t>
            </w:r>
            <w:r w:rsidR="00E850C0">
              <w:rPr>
                <w:rFonts w:ascii="Times New Roman" w:hAnsi="Times New Roman"/>
                <w:sz w:val="24"/>
                <w:szCs w:val="24"/>
              </w:rPr>
              <w:t>,</w:t>
            </w:r>
            <w:r w:rsidRPr="00AB6C4F">
              <w:rPr>
                <w:rFonts w:ascii="Times New Roman" w:hAnsi="Times New Roman"/>
                <w:sz w:val="24"/>
                <w:szCs w:val="24"/>
              </w:rPr>
              <w:t xml:space="preserve"> pasirašius Europos Sąjungos struktūrinių fondų lėšų finansuojamo projekto „Valstybės ir savivaldybių institucijų ir įstaigų vidurinės grandies vadovų strateginių kompetencijų centralizuotas stiprinimas“ pagal 2014-2020 metų Europos Sąjungos fondų </w:t>
            </w:r>
            <w:r w:rsidRPr="00AB6C4F">
              <w:rPr>
                <w:rFonts w:ascii="Times New Roman" w:hAnsi="Times New Roman"/>
                <w:sz w:val="24"/>
                <w:szCs w:val="24"/>
              </w:rPr>
              <w:lastRenderedPageBreak/>
              <w:t>investicijų veiksmų programos 10 prioriteto „Visuomenės poreikius atitinkantis ir pažangus viešasis valdymas“ Nr. 10.1.5-ESFA-V-924 priemonę „Valstybės ir savivaldybių institucijų ir įstaigų dirbančiųjų strateginių kompetencijų centralizuotas stiprinimas“, sutartį.</w:t>
            </w:r>
            <w:r w:rsidR="00AE1F6B">
              <w:rPr>
                <w:rFonts w:ascii="Times New Roman" w:hAnsi="Times New Roman"/>
                <w:sz w:val="24"/>
                <w:szCs w:val="24"/>
              </w:rPr>
              <w:t xml:space="preserve"> </w:t>
            </w:r>
            <w:r w:rsidR="00965F34" w:rsidRPr="00D72053">
              <w:rPr>
                <w:rFonts w:ascii="Times New Roman" w:hAnsi="Times New Roman"/>
                <w:sz w:val="24"/>
                <w:szCs w:val="24"/>
              </w:rPr>
              <w:t xml:space="preserve">Įgyvendinančioji institucija: </w:t>
            </w:r>
            <w:r w:rsidR="00D37D29" w:rsidRPr="00D72053">
              <w:rPr>
                <w:rFonts w:ascii="Times New Roman" w:hAnsi="Times New Roman"/>
                <w:sz w:val="24"/>
                <w:szCs w:val="24"/>
              </w:rPr>
              <w:t>Europos socialinio fondo agentūra</w:t>
            </w:r>
            <w:r w:rsidR="00625382" w:rsidRPr="00D72053">
              <w:rPr>
                <w:rFonts w:ascii="Times New Roman" w:hAnsi="Times New Roman"/>
                <w:sz w:val="24"/>
                <w:szCs w:val="24"/>
              </w:rPr>
              <w:t xml:space="preserve"> (toliau – ESFA)</w:t>
            </w:r>
            <w:r w:rsidR="00965F34" w:rsidRPr="00D72053">
              <w:rPr>
                <w:rFonts w:ascii="Times New Roman" w:hAnsi="Times New Roman"/>
                <w:sz w:val="24"/>
                <w:szCs w:val="24"/>
              </w:rPr>
              <w:t>.</w:t>
            </w:r>
            <w:r w:rsidR="00625382" w:rsidRPr="00D72053">
              <w:rPr>
                <w:rFonts w:ascii="Times New Roman" w:hAnsi="Times New Roman"/>
                <w:sz w:val="24"/>
                <w:szCs w:val="24"/>
              </w:rPr>
              <w:t xml:space="preserve"> </w:t>
            </w:r>
            <w:r w:rsidR="00972091" w:rsidRPr="00D72053">
              <w:rPr>
                <w:rFonts w:ascii="Times New Roman" w:hAnsi="Times New Roman"/>
                <w:sz w:val="24"/>
                <w:szCs w:val="24"/>
              </w:rPr>
              <w:t>Pirkimo dokumentų išankstin</w:t>
            </w:r>
            <w:r w:rsidR="00F31044" w:rsidRPr="00D72053">
              <w:rPr>
                <w:rFonts w:ascii="Times New Roman" w:hAnsi="Times New Roman"/>
                <w:sz w:val="24"/>
                <w:szCs w:val="24"/>
              </w:rPr>
              <w:t>ę</w:t>
            </w:r>
            <w:r w:rsidR="00972091" w:rsidRPr="00D72053">
              <w:rPr>
                <w:rFonts w:ascii="Times New Roman" w:hAnsi="Times New Roman"/>
                <w:sz w:val="24"/>
                <w:szCs w:val="24"/>
              </w:rPr>
              <w:t xml:space="preserve"> patikrą atliko</w:t>
            </w:r>
            <w:r w:rsidR="00F31044" w:rsidRPr="00D72053">
              <w:rPr>
                <w:rFonts w:ascii="Times New Roman" w:hAnsi="Times New Roman"/>
                <w:sz w:val="24"/>
                <w:szCs w:val="24"/>
              </w:rPr>
              <w:t xml:space="preserve"> ESFA.</w:t>
            </w:r>
            <w:r w:rsidR="00625382" w:rsidRPr="00D72053">
              <w:rPr>
                <w:rFonts w:ascii="Times New Roman" w:hAnsi="Times New Roman"/>
                <w:sz w:val="24"/>
                <w:szCs w:val="24"/>
              </w:rPr>
              <w:t xml:space="preserve">   </w:t>
            </w:r>
          </w:p>
        </w:tc>
      </w:tr>
      <w:tr w:rsidR="00AB1809" w:rsidRPr="00D72053" w14:paraId="5FBBB8BE" w14:textId="77777777" w:rsidTr="00674C40">
        <w:tc>
          <w:tcPr>
            <w:tcW w:w="4672" w:type="dxa"/>
            <w:shd w:val="clear" w:color="auto" w:fill="auto"/>
            <w:vAlign w:val="center"/>
          </w:tcPr>
          <w:p w14:paraId="293130E2" w14:textId="77777777" w:rsidR="00AB1809" w:rsidRPr="00D72053" w:rsidRDefault="00CD5FFF" w:rsidP="00DE35DF">
            <w:pPr>
              <w:spacing w:before="60" w:after="60"/>
              <w:rPr>
                <w:rFonts w:ascii="Times New Roman" w:hAnsi="Times New Roman"/>
                <w:sz w:val="24"/>
                <w:szCs w:val="24"/>
              </w:rPr>
            </w:pPr>
            <w:r w:rsidRPr="00D72053">
              <w:rPr>
                <w:rFonts w:ascii="Times New Roman" w:hAnsi="Times New Roman"/>
                <w:sz w:val="24"/>
                <w:szCs w:val="24"/>
              </w:rPr>
              <w:lastRenderedPageBreak/>
              <w:t>Pirkimo vykdymo t</w:t>
            </w:r>
            <w:r w:rsidR="00AB1809" w:rsidRPr="00D72053">
              <w:rPr>
                <w:rFonts w:ascii="Times New Roman" w:hAnsi="Times New Roman"/>
                <w:sz w:val="24"/>
                <w:szCs w:val="24"/>
              </w:rPr>
              <w:t xml:space="preserve">eisinis pagrindas (pirkimui taikomo </w:t>
            </w:r>
            <w:r w:rsidR="00BA3D29" w:rsidRPr="00D72053">
              <w:rPr>
                <w:rFonts w:ascii="Times New Roman" w:hAnsi="Times New Roman"/>
                <w:sz w:val="24"/>
                <w:szCs w:val="24"/>
              </w:rPr>
              <w:t>įstatymo</w:t>
            </w:r>
            <w:r w:rsidR="00AB1809" w:rsidRPr="00D72053">
              <w:rPr>
                <w:rFonts w:ascii="Times New Roman" w:hAnsi="Times New Roman"/>
                <w:sz w:val="24"/>
                <w:szCs w:val="24"/>
              </w:rPr>
              <w:t>, supaprastintų pirkimų taisyklių redakcija)</w:t>
            </w:r>
          </w:p>
        </w:tc>
        <w:tc>
          <w:tcPr>
            <w:tcW w:w="4934" w:type="dxa"/>
            <w:shd w:val="clear" w:color="auto" w:fill="auto"/>
            <w:vAlign w:val="center"/>
          </w:tcPr>
          <w:p w14:paraId="5F2D1642" w14:textId="77777777" w:rsidR="00AB1809" w:rsidRPr="00D72053" w:rsidRDefault="00674C40" w:rsidP="00D151F6">
            <w:pPr>
              <w:spacing w:before="60" w:after="60"/>
              <w:rPr>
                <w:rFonts w:ascii="Times New Roman" w:hAnsi="Times New Roman"/>
                <w:sz w:val="24"/>
                <w:szCs w:val="24"/>
              </w:rPr>
            </w:pPr>
            <w:r w:rsidRPr="00D72053">
              <w:rPr>
                <w:rFonts w:ascii="Times New Roman" w:hAnsi="Times New Roman"/>
                <w:bCs/>
                <w:sz w:val="24"/>
                <w:szCs w:val="24"/>
              </w:rPr>
              <w:t>Lietuvos Respublikos viešųjų pirkimų įstatym</w:t>
            </w:r>
            <w:r w:rsidR="000B1195" w:rsidRPr="00D72053">
              <w:rPr>
                <w:rFonts w:ascii="Times New Roman" w:hAnsi="Times New Roman"/>
                <w:bCs/>
                <w:sz w:val="24"/>
                <w:szCs w:val="24"/>
              </w:rPr>
              <w:t>as</w:t>
            </w:r>
            <w:r w:rsidRPr="00D72053">
              <w:rPr>
                <w:rFonts w:ascii="Times New Roman" w:hAnsi="Times New Roman"/>
                <w:bCs/>
                <w:sz w:val="24"/>
                <w:szCs w:val="24"/>
              </w:rPr>
              <w:t xml:space="preserve"> (redakcija nuo 201</w:t>
            </w:r>
            <w:r w:rsidR="00AE1F6B">
              <w:rPr>
                <w:rFonts w:ascii="Times New Roman" w:hAnsi="Times New Roman"/>
                <w:bCs/>
                <w:sz w:val="24"/>
                <w:szCs w:val="24"/>
              </w:rPr>
              <w:t>7</w:t>
            </w:r>
            <w:r w:rsidR="00A84C5A" w:rsidRPr="00D72053">
              <w:rPr>
                <w:rFonts w:ascii="Times New Roman" w:hAnsi="Times New Roman"/>
                <w:bCs/>
                <w:sz w:val="24"/>
                <w:szCs w:val="24"/>
              </w:rPr>
              <w:t>-0</w:t>
            </w:r>
            <w:r w:rsidR="00965F34" w:rsidRPr="00D72053">
              <w:rPr>
                <w:rFonts w:ascii="Times New Roman" w:hAnsi="Times New Roman"/>
                <w:bCs/>
                <w:sz w:val="24"/>
                <w:szCs w:val="24"/>
              </w:rPr>
              <w:t>1</w:t>
            </w:r>
            <w:r w:rsidR="00A84C5A" w:rsidRPr="00D72053">
              <w:rPr>
                <w:rFonts w:ascii="Times New Roman" w:hAnsi="Times New Roman"/>
                <w:bCs/>
                <w:sz w:val="24"/>
                <w:szCs w:val="24"/>
              </w:rPr>
              <w:t>-0</w:t>
            </w:r>
            <w:r w:rsidR="00965F34" w:rsidRPr="00D72053">
              <w:rPr>
                <w:rFonts w:ascii="Times New Roman" w:hAnsi="Times New Roman"/>
                <w:bCs/>
                <w:sz w:val="24"/>
                <w:szCs w:val="24"/>
              </w:rPr>
              <w:t>1</w:t>
            </w:r>
            <w:r w:rsidR="00810E36" w:rsidRPr="00D72053">
              <w:rPr>
                <w:rFonts w:ascii="Times New Roman" w:hAnsi="Times New Roman"/>
                <w:bCs/>
                <w:sz w:val="24"/>
                <w:szCs w:val="24"/>
              </w:rPr>
              <w:t xml:space="preserve"> iki 201</w:t>
            </w:r>
            <w:r w:rsidR="00AE1F6B">
              <w:rPr>
                <w:rFonts w:ascii="Times New Roman" w:hAnsi="Times New Roman"/>
                <w:bCs/>
                <w:sz w:val="24"/>
                <w:szCs w:val="24"/>
              </w:rPr>
              <w:t>7</w:t>
            </w:r>
            <w:r w:rsidR="00810E36" w:rsidRPr="00D72053">
              <w:rPr>
                <w:rFonts w:ascii="Times New Roman" w:hAnsi="Times New Roman"/>
                <w:bCs/>
                <w:sz w:val="24"/>
                <w:szCs w:val="24"/>
              </w:rPr>
              <w:t>-</w:t>
            </w:r>
            <w:r w:rsidR="00AE1F6B">
              <w:rPr>
                <w:rFonts w:ascii="Times New Roman" w:hAnsi="Times New Roman"/>
                <w:bCs/>
                <w:sz w:val="24"/>
                <w:szCs w:val="24"/>
              </w:rPr>
              <w:t>06</w:t>
            </w:r>
            <w:r w:rsidR="00810E36" w:rsidRPr="00D72053">
              <w:rPr>
                <w:rFonts w:ascii="Times New Roman" w:hAnsi="Times New Roman"/>
                <w:bCs/>
                <w:sz w:val="24"/>
                <w:szCs w:val="24"/>
              </w:rPr>
              <w:t>-3</w:t>
            </w:r>
            <w:r w:rsidR="00AE1F6B">
              <w:rPr>
                <w:rFonts w:ascii="Times New Roman" w:hAnsi="Times New Roman"/>
                <w:bCs/>
                <w:sz w:val="24"/>
                <w:szCs w:val="24"/>
              </w:rPr>
              <w:t>0</w:t>
            </w:r>
            <w:r w:rsidR="00965F34" w:rsidRPr="00D72053">
              <w:rPr>
                <w:rFonts w:ascii="Times New Roman" w:hAnsi="Times New Roman"/>
                <w:bCs/>
                <w:sz w:val="24"/>
                <w:szCs w:val="24"/>
              </w:rPr>
              <w:t xml:space="preserve">) (toliau – Įstatymas), </w:t>
            </w:r>
            <w:r w:rsidR="00AE1F6B">
              <w:rPr>
                <w:rFonts w:ascii="Times New Roman" w:hAnsi="Times New Roman"/>
                <w:sz w:val="24"/>
                <w:szCs w:val="24"/>
              </w:rPr>
              <w:t>Valstybės tarnybos departamento</w:t>
            </w:r>
            <w:r w:rsidR="00965F34" w:rsidRPr="00D72053">
              <w:rPr>
                <w:rFonts w:ascii="Times New Roman" w:hAnsi="Times New Roman"/>
                <w:sz w:val="24"/>
                <w:szCs w:val="24"/>
              </w:rPr>
              <w:t xml:space="preserve"> supaprastintų viešųjų pirkimų taisyklės, patvirtintos </w:t>
            </w:r>
            <w:r w:rsidR="00AE1F6B">
              <w:rPr>
                <w:rFonts w:ascii="Times New Roman" w:hAnsi="Times New Roman"/>
                <w:sz w:val="24"/>
                <w:szCs w:val="24"/>
              </w:rPr>
              <w:t>Valstybės tarnybos departamento</w:t>
            </w:r>
            <w:r w:rsidR="002F0BFE" w:rsidRPr="00D72053">
              <w:rPr>
                <w:rFonts w:ascii="Times New Roman" w:hAnsi="Times New Roman"/>
                <w:sz w:val="24"/>
                <w:szCs w:val="24"/>
              </w:rPr>
              <w:t xml:space="preserve"> direktoriaus 201</w:t>
            </w:r>
            <w:r w:rsidR="00AE1F6B">
              <w:rPr>
                <w:rFonts w:ascii="Times New Roman" w:hAnsi="Times New Roman"/>
                <w:sz w:val="24"/>
                <w:szCs w:val="24"/>
              </w:rPr>
              <w:t>5</w:t>
            </w:r>
            <w:r w:rsidR="002F0BFE" w:rsidRPr="00D72053">
              <w:rPr>
                <w:rFonts w:ascii="Times New Roman" w:hAnsi="Times New Roman"/>
                <w:sz w:val="24"/>
                <w:szCs w:val="24"/>
              </w:rPr>
              <w:t xml:space="preserve"> m. </w:t>
            </w:r>
            <w:r w:rsidR="00AE1F6B">
              <w:rPr>
                <w:rFonts w:ascii="Times New Roman" w:hAnsi="Times New Roman"/>
                <w:sz w:val="24"/>
                <w:szCs w:val="24"/>
              </w:rPr>
              <w:t>sausio</w:t>
            </w:r>
            <w:r w:rsidR="002F0BFE" w:rsidRPr="00D72053">
              <w:rPr>
                <w:rFonts w:ascii="Times New Roman" w:hAnsi="Times New Roman"/>
                <w:sz w:val="24"/>
                <w:szCs w:val="24"/>
              </w:rPr>
              <w:t xml:space="preserve"> </w:t>
            </w:r>
            <w:r w:rsidR="00AE1F6B">
              <w:rPr>
                <w:rFonts w:ascii="Times New Roman" w:hAnsi="Times New Roman"/>
                <w:sz w:val="24"/>
                <w:szCs w:val="24"/>
              </w:rPr>
              <w:t>6</w:t>
            </w:r>
            <w:r w:rsidR="002F0BFE" w:rsidRPr="00D72053">
              <w:rPr>
                <w:rFonts w:ascii="Times New Roman" w:hAnsi="Times New Roman"/>
                <w:sz w:val="24"/>
                <w:szCs w:val="24"/>
              </w:rPr>
              <w:t xml:space="preserve"> d. įsakymu Nr. V-</w:t>
            </w:r>
            <w:r w:rsidR="00AE1F6B">
              <w:rPr>
                <w:rFonts w:ascii="Times New Roman" w:hAnsi="Times New Roman"/>
                <w:sz w:val="24"/>
                <w:szCs w:val="24"/>
              </w:rPr>
              <w:t>27V-2</w:t>
            </w:r>
            <w:r w:rsidR="002F0BFE" w:rsidRPr="00D72053">
              <w:rPr>
                <w:rFonts w:ascii="Times New Roman" w:hAnsi="Times New Roman"/>
                <w:bCs/>
                <w:sz w:val="24"/>
                <w:szCs w:val="24"/>
              </w:rPr>
              <w:t xml:space="preserve"> </w:t>
            </w:r>
            <w:r w:rsidR="00965F34" w:rsidRPr="00D72053">
              <w:rPr>
                <w:rFonts w:ascii="Times New Roman" w:hAnsi="Times New Roman"/>
                <w:bCs/>
                <w:sz w:val="24"/>
                <w:szCs w:val="24"/>
              </w:rPr>
              <w:t>(toliau – Taisyklės)</w:t>
            </w:r>
            <w:r w:rsidR="00AD16E9" w:rsidRPr="00D72053">
              <w:rPr>
                <w:rFonts w:ascii="Times New Roman" w:hAnsi="Times New Roman"/>
                <w:bCs/>
                <w:sz w:val="24"/>
                <w:szCs w:val="24"/>
              </w:rPr>
              <w:t>.</w:t>
            </w:r>
          </w:p>
        </w:tc>
      </w:tr>
      <w:tr w:rsidR="00AB1809" w:rsidRPr="00D72053" w14:paraId="719D565E" w14:textId="77777777" w:rsidTr="00674C40">
        <w:tc>
          <w:tcPr>
            <w:tcW w:w="4672" w:type="dxa"/>
            <w:shd w:val="clear" w:color="auto" w:fill="auto"/>
            <w:vAlign w:val="center"/>
          </w:tcPr>
          <w:p w14:paraId="3FAB37E6" w14:textId="77777777" w:rsidR="00AB1809" w:rsidRPr="00D72053" w:rsidRDefault="00AB1809" w:rsidP="00DE35DF">
            <w:pPr>
              <w:spacing w:before="60" w:after="60"/>
              <w:rPr>
                <w:rFonts w:ascii="Times New Roman" w:hAnsi="Times New Roman"/>
                <w:sz w:val="24"/>
                <w:szCs w:val="24"/>
              </w:rPr>
            </w:pPr>
            <w:r w:rsidRPr="00D72053">
              <w:rPr>
                <w:rFonts w:ascii="Times New Roman" w:hAnsi="Times New Roman"/>
                <w:sz w:val="24"/>
                <w:szCs w:val="24"/>
              </w:rPr>
              <w:t xml:space="preserve">Vertinimo </w:t>
            </w:r>
            <w:r w:rsidR="007E4301" w:rsidRPr="00D72053">
              <w:rPr>
                <w:rFonts w:ascii="Times New Roman" w:hAnsi="Times New Roman"/>
                <w:sz w:val="24"/>
                <w:szCs w:val="24"/>
              </w:rPr>
              <w:t>apimtys/</w:t>
            </w:r>
            <w:r w:rsidRPr="00D72053">
              <w:rPr>
                <w:rFonts w:ascii="Times New Roman" w:hAnsi="Times New Roman"/>
                <w:sz w:val="24"/>
                <w:szCs w:val="24"/>
              </w:rPr>
              <w:t>etapas</w:t>
            </w:r>
          </w:p>
        </w:tc>
        <w:tc>
          <w:tcPr>
            <w:tcW w:w="4934" w:type="dxa"/>
            <w:shd w:val="clear" w:color="auto" w:fill="auto"/>
            <w:vAlign w:val="center"/>
          </w:tcPr>
          <w:p w14:paraId="268C5B75" w14:textId="77777777" w:rsidR="00AB1809" w:rsidRPr="00D72053" w:rsidRDefault="002F0BFE" w:rsidP="00DE35DF">
            <w:pPr>
              <w:spacing w:before="60" w:after="60"/>
              <w:rPr>
                <w:rFonts w:ascii="Times New Roman" w:hAnsi="Times New Roman"/>
                <w:sz w:val="24"/>
                <w:szCs w:val="24"/>
              </w:rPr>
            </w:pPr>
            <w:r w:rsidRPr="00D72053">
              <w:rPr>
                <w:rFonts w:ascii="Times New Roman" w:hAnsi="Times New Roman"/>
                <w:sz w:val="24"/>
                <w:szCs w:val="24"/>
              </w:rPr>
              <w:t>Išsamus vertinimas / Pirkimo procedūrų vertinimas iki vokų atplėšimo procedūros</w:t>
            </w:r>
            <w:r w:rsidR="000B1195" w:rsidRPr="00D72053">
              <w:rPr>
                <w:rFonts w:ascii="Times New Roman" w:hAnsi="Times New Roman"/>
                <w:sz w:val="24"/>
                <w:szCs w:val="24"/>
              </w:rPr>
              <w:t>.</w:t>
            </w:r>
          </w:p>
        </w:tc>
      </w:tr>
      <w:tr w:rsidR="00AB1809" w:rsidRPr="00D72053" w14:paraId="770A2910" w14:textId="77777777" w:rsidTr="00674C40">
        <w:tc>
          <w:tcPr>
            <w:tcW w:w="4672" w:type="dxa"/>
            <w:shd w:val="clear" w:color="auto" w:fill="auto"/>
            <w:vAlign w:val="center"/>
          </w:tcPr>
          <w:p w14:paraId="3C073D33" w14:textId="77777777" w:rsidR="00AB1809" w:rsidRPr="00D72053" w:rsidRDefault="00AB1809" w:rsidP="00DE35DF">
            <w:pPr>
              <w:spacing w:before="60" w:after="60"/>
              <w:rPr>
                <w:rFonts w:ascii="Times New Roman" w:hAnsi="Times New Roman"/>
                <w:sz w:val="24"/>
                <w:szCs w:val="24"/>
              </w:rPr>
            </w:pPr>
            <w:r w:rsidRPr="00D72053">
              <w:rPr>
                <w:rFonts w:ascii="Times New Roman" w:hAnsi="Times New Roman"/>
                <w:sz w:val="24"/>
                <w:szCs w:val="24"/>
              </w:rPr>
              <w:t>Dėl pirkimo vyksta teismo procesas (nurodyti ieškinio (skundo) dalykus, bylos šalių pavadinimus, ar taikomos laikinosios apsaugos priemonės, teisminio nagrinėjimo stadija, pvz.</w:t>
            </w:r>
            <w:r w:rsidR="00CD5FFF" w:rsidRPr="00D72053">
              <w:rPr>
                <w:rFonts w:ascii="Times New Roman" w:hAnsi="Times New Roman"/>
                <w:sz w:val="24"/>
                <w:szCs w:val="24"/>
              </w:rPr>
              <w:t>,</w:t>
            </w:r>
            <w:r w:rsidRPr="00D72053">
              <w:rPr>
                <w:rFonts w:ascii="Times New Roman" w:hAnsi="Times New Roman"/>
                <w:sz w:val="24"/>
                <w:szCs w:val="24"/>
              </w:rPr>
              <w:t xml:space="preserve"> apygardos, apeliacinis teismas)</w:t>
            </w:r>
          </w:p>
        </w:tc>
        <w:tc>
          <w:tcPr>
            <w:tcW w:w="4934" w:type="dxa"/>
            <w:shd w:val="clear" w:color="auto" w:fill="auto"/>
            <w:vAlign w:val="center"/>
          </w:tcPr>
          <w:p w14:paraId="7CC39A7A" w14:textId="77777777" w:rsidR="00AB1809" w:rsidRPr="00D72053" w:rsidRDefault="008A3E06" w:rsidP="00DE35DF">
            <w:pPr>
              <w:spacing w:before="60" w:after="60"/>
              <w:rPr>
                <w:rFonts w:ascii="Times New Roman" w:hAnsi="Times New Roman"/>
                <w:sz w:val="24"/>
                <w:szCs w:val="24"/>
              </w:rPr>
            </w:pPr>
            <w:r w:rsidRPr="00D72053">
              <w:rPr>
                <w:rFonts w:ascii="Times New Roman" w:hAnsi="Times New Roman"/>
                <w:sz w:val="24"/>
                <w:szCs w:val="24"/>
              </w:rPr>
              <w:t>–</w:t>
            </w:r>
          </w:p>
        </w:tc>
      </w:tr>
    </w:tbl>
    <w:p w14:paraId="5BD636A2" w14:textId="77777777" w:rsidR="004D6247" w:rsidRPr="00D72053" w:rsidRDefault="004D6247" w:rsidP="00E1522B">
      <w:pPr>
        <w:spacing w:after="0"/>
        <w:rPr>
          <w:rFonts w:ascii="Times New Roman" w:hAnsi="Times New Roman"/>
          <w:sz w:val="24"/>
          <w:szCs w:val="24"/>
        </w:rPr>
      </w:pPr>
    </w:p>
    <w:p w14:paraId="43FACD60" w14:textId="77777777" w:rsidR="00B64236" w:rsidRPr="00D72053" w:rsidRDefault="00A500B8" w:rsidP="00E1522B">
      <w:pPr>
        <w:spacing w:after="0"/>
        <w:jc w:val="center"/>
        <w:rPr>
          <w:rFonts w:ascii="Times New Roman" w:hAnsi="Times New Roman"/>
          <w:b/>
          <w:sz w:val="24"/>
          <w:szCs w:val="24"/>
        </w:rPr>
      </w:pPr>
      <w:r w:rsidRPr="00D72053">
        <w:rPr>
          <w:rFonts w:ascii="Times New Roman" w:hAnsi="Times New Roman"/>
          <w:b/>
          <w:sz w:val="24"/>
          <w:szCs w:val="24"/>
        </w:rPr>
        <w:t xml:space="preserve">II dalis. </w:t>
      </w:r>
      <w:r w:rsidR="00C5562E" w:rsidRPr="00D72053">
        <w:rPr>
          <w:rFonts w:ascii="Times New Roman" w:hAnsi="Times New Roman"/>
          <w:b/>
          <w:sz w:val="24"/>
          <w:szCs w:val="24"/>
        </w:rPr>
        <w:t>Vertinimo metu nustatyti pažeidimai</w:t>
      </w:r>
    </w:p>
    <w:p w14:paraId="07A5C4A1" w14:textId="77777777" w:rsidR="006E65BF" w:rsidRPr="00D72053" w:rsidRDefault="006E65BF" w:rsidP="00E1522B">
      <w:pPr>
        <w:spacing w:after="0"/>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9071"/>
        <w:gridCol w:w="108"/>
      </w:tblGrid>
      <w:tr w:rsidR="008B391B" w:rsidRPr="00196CE1" w14:paraId="5C881886" w14:textId="77777777" w:rsidTr="00650D9C">
        <w:trPr>
          <w:gridAfter w:val="1"/>
          <w:wAfter w:w="108" w:type="dxa"/>
        </w:trPr>
        <w:tc>
          <w:tcPr>
            <w:tcW w:w="535" w:type="dxa"/>
            <w:shd w:val="clear" w:color="auto" w:fill="auto"/>
          </w:tcPr>
          <w:p w14:paraId="7D75056A" w14:textId="77777777" w:rsidR="008B391B" w:rsidRPr="00D72053" w:rsidRDefault="008B391B" w:rsidP="008B391B">
            <w:pPr>
              <w:numPr>
                <w:ilvl w:val="0"/>
                <w:numId w:val="41"/>
              </w:numPr>
              <w:jc w:val="left"/>
              <w:rPr>
                <w:rFonts w:ascii="Times New Roman" w:hAnsi="Times New Roman"/>
                <w:sz w:val="24"/>
                <w:szCs w:val="24"/>
              </w:rPr>
            </w:pPr>
          </w:p>
        </w:tc>
        <w:tc>
          <w:tcPr>
            <w:tcW w:w="9071" w:type="dxa"/>
            <w:shd w:val="clear" w:color="auto" w:fill="auto"/>
          </w:tcPr>
          <w:p w14:paraId="0D5DA4CE" w14:textId="77777777" w:rsidR="008B391B" w:rsidRPr="00D72053" w:rsidRDefault="008B391B" w:rsidP="00064D4A">
            <w:pPr>
              <w:ind w:firstLine="113"/>
              <w:jc w:val="left"/>
              <w:rPr>
                <w:rFonts w:ascii="Times New Roman" w:hAnsi="Times New Roman"/>
                <w:i/>
                <w:sz w:val="24"/>
                <w:szCs w:val="24"/>
              </w:rPr>
            </w:pPr>
            <w:r w:rsidRPr="00D72053">
              <w:rPr>
                <w:rFonts w:ascii="Times New Roman" w:hAnsi="Times New Roman"/>
                <w:i/>
                <w:sz w:val="24"/>
                <w:szCs w:val="24"/>
              </w:rPr>
              <w:t xml:space="preserve">Įstatymo </w:t>
            </w:r>
            <w:r>
              <w:rPr>
                <w:rFonts w:ascii="Times New Roman" w:hAnsi="Times New Roman"/>
                <w:i/>
                <w:sz w:val="24"/>
                <w:szCs w:val="24"/>
              </w:rPr>
              <w:t>7</w:t>
            </w:r>
            <w:r w:rsidRPr="00D72053">
              <w:rPr>
                <w:rFonts w:ascii="Times New Roman" w:hAnsi="Times New Roman"/>
                <w:i/>
                <w:sz w:val="24"/>
                <w:szCs w:val="24"/>
              </w:rPr>
              <w:t xml:space="preserve"> straipsnio 1 dalis</w:t>
            </w:r>
            <w:r w:rsidRPr="00D72053">
              <w:rPr>
                <w:rStyle w:val="FootnoteReference"/>
                <w:rFonts w:ascii="Times New Roman" w:hAnsi="Times New Roman"/>
                <w:i/>
                <w:sz w:val="24"/>
                <w:szCs w:val="24"/>
              </w:rPr>
              <w:footnoteReference w:id="1"/>
            </w:r>
          </w:p>
        </w:tc>
      </w:tr>
      <w:tr w:rsidR="008B391B" w:rsidRPr="00196CE1" w14:paraId="641795CD" w14:textId="77777777" w:rsidTr="00F80F1E">
        <w:trPr>
          <w:gridAfter w:val="1"/>
          <w:wAfter w:w="108" w:type="dxa"/>
        </w:trPr>
        <w:tc>
          <w:tcPr>
            <w:tcW w:w="9606" w:type="dxa"/>
            <w:gridSpan w:val="2"/>
            <w:shd w:val="clear" w:color="auto" w:fill="auto"/>
          </w:tcPr>
          <w:p w14:paraId="6C21B487" w14:textId="77777777" w:rsidR="008B391B" w:rsidRPr="007E5ABF" w:rsidRDefault="002972AD" w:rsidP="00E5018E">
            <w:pPr>
              <w:spacing w:before="0" w:after="0"/>
              <w:rPr>
                <w:rFonts w:ascii="Times New Roman" w:hAnsi="Times New Roman"/>
                <w:sz w:val="24"/>
                <w:szCs w:val="24"/>
              </w:rPr>
            </w:pPr>
            <w:r w:rsidRPr="007E5ABF">
              <w:rPr>
                <w:rFonts w:ascii="Times New Roman" w:hAnsi="Times New Roman"/>
                <w:sz w:val="24"/>
                <w:szCs w:val="24"/>
              </w:rPr>
              <w:t>Perkančioji organizacija Centrinėje viešųjų pirkimų informacinėje sistemoje nepaskelbė Pirkimo techninės specifikacijos projekto kaip to buvo reikalaujama Įstatymo 7 straipsnio 1 dalyje.</w:t>
            </w:r>
          </w:p>
        </w:tc>
      </w:tr>
      <w:tr w:rsidR="00946CD2" w:rsidRPr="00AA614A" w14:paraId="42B0802C" w14:textId="77777777" w:rsidTr="002F7C62">
        <w:tc>
          <w:tcPr>
            <w:tcW w:w="535" w:type="dxa"/>
            <w:shd w:val="clear" w:color="auto" w:fill="auto"/>
          </w:tcPr>
          <w:p w14:paraId="77DAD5ED" w14:textId="77777777" w:rsidR="00946CD2" w:rsidRPr="00D72053" w:rsidRDefault="00946CD2" w:rsidP="00946CD2">
            <w:pPr>
              <w:numPr>
                <w:ilvl w:val="0"/>
                <w:numId w:val="41"/>
              </w:numPr>
              <w:jc w:val="left"/>
              <w:rPr>
                <w:rFonts w:ascii="Times New Roman" w:hAnsi="Times New Roman"/>
                <w:sz w:val="24"/>
                <w:szCs w:val="24"/>
              </w:rPr>
            </w:pPr>
          </w:p>
        </w:tc>
        <w:tc>
          <w:tcPr>
            <w:tcW w:w="9179" w:type="dxa"/>
            <w:gridSpan w:val="2"/>
            <w:shd w:val="clear" w:color="auto" w:fill="auto"/>
          </w:tcPr>
          <w:p w14:paraId="214DD9FD" w14:textId="77777777" w:rsidR="00946CD2" w:rsidRPr="00AA614A" w:rsidRDefault="00946CD2" w:rsidP="002F7C62">
            <w:pPr>
              <w:ind w:firstLine="113"/>
              <w:rPr>
                <w:rFonts w:ascii="Times New Roman" w:hAnsi="Times New Roman"/>
                <w:sz w:val="24"/>
                <w:szCs w:val="24"/>
              </w:rPr>
            </w:pPr>
            <w:r w:rsidRPr="00AA614A">
              <w:rPr>
                <w:rFonts w:ascii="Times New Roman" w:hAnsi="Times New Roman"/>
                <w:i/>
                <w:sz w:val="24"/>
                <w:szCs w:val="24"/>
              </w:rPr>
              <w:t xml:space="preserve">Įstatymo </w:t>
            </w:r>
            <w:r w:rsidRPr="00D64DF7">
              <w:rPr>
                <w:rFonts w:ascii="Times New Roman" w:hAnsi="Times New Roman"/>
                <w:i/>
                <w:sz w:val="24"/>
                <w:szCs w:val="24"/>
              </w:rPr>
              <w:t>16 straipsnio 3 dalis</w:t>
            </w:r>
            <w:r w:rsidRPr="00D64DF7">
              <w:rPr>
                <w:rFonts w:ascii="Times New Roman" w:hAnsi="Times New Roman"/>
                <w:i/>
                <w:sz w:val="24"/>
                <w:szCs w:val="24"/>
                <w:vertAlign w:val="superscript"/>
              </w:rPr>
              <w:footnoteReference w:id="2"/>
            </w:r>
          </w:p>
        </w:tc>
      </w:tr>
      <w:tr w:rsidR="00224B97" w:rsidRPr="00196CE1" w14:paraId="004A8F7E" w14:textId="77777777" w:rsidTr="00F80F1E">
        <w:trPr>
          <w:gridAfter w:val="1"/>
          <w:wAfter w:w="108" w:type="dxa"/>
        </w:trPr>
        <w:tc>
          <w:tcPr>
            <w:tcW w:w="9606" w:type="dxa"/>
            <w:gridSpan w:val="2"/>
            <w:shd w:val="clear" w:color="auto" w:fill="auto"/>
          </w:tcPr>
          <w:p w14:paraId="0831F9D8" w14:textId="77777777" w:rsidR="00224B97" w:rsidRPr="007E5ABF" w:rsidRDefault="00946CD2" w:rsidP="00E5018E">
            <w:pPr>
              <w:spacing w:before="0" w:after="0"/>
              <w:rPr>
                <w:rFonts w:ascii="Times New Roman" w:hAnsi="Times New Roman"/>
                <w:sz w:val="24"/>
                <w:szCs w:val="24"/>
              </w:rPr>
            </w:pPr>
            <w:r w:rsidRPr="00985449">
              <w:rPr>
                <w:rFonts w:ascii="Times New Roman" w:hAnsi="Times New Roman"/>
                <w:sz w:val="24"/>
                <w:szCs w:val="24"/>
              </w:rPr>
              <w:t xml:space="preserve">Tarnybai nepateikti </w:t>
            </w:r>
            <w:r>
              <w:rPr>
                <w:rFonts w:ascii="Times New Roman" w:hAnsi="Times New Roman"/>
                <w:sz w:val="24"/>
                <w:szCs w:val="24"/>
              </w:rPr>
              <w:t xml:space="preserve">Komisijos </w:t>
            </w:r>
            <w:r w:rsidRPr="00985449">
              <w:rPr>
                <w:rFonts w:ascii="Times New Roman" w:hAnsi="Times New Roman"/>
                <w:sz w:val="24"/>
                <w:szCs w:val="24"/>
              </w:rPr>
              <w:t>protokolai, kuri</w:t>
            </w:r>
            <w:r>
              <w:rPr>
                <w:rFonts w:ascii="Times New Roman" w:hAnsi="Times New Roman"/>
                <w:sz w:val="24"/>
                <w:szCs w:val="24"/>
              </w:rPr>
              <w:t>ais turėjo būti priimami sprendimai dėl atsakymų į tiekėjų paklausimus</w:t>
            </w:r>
            <w:r w:rsidRPr="00985449">
              <w:rPr>
                <w:rFonts w:ascii="Times New Roman" w:hAnsi="Times New Roman"/>
                <w:sz w:val="24"/>
                <w:szCs w:val="24"/>
              </w:rPr>
              <w:t>.</w:t>
            </w:r>
          </w:p>
        </w:tc>
      </w:tr>
      <w:tr w:rsidR="00A67C3E" w:rsidRPr="00AA614A" w14:paraId="1A80B3D5" w14:textId="77777777" w:rsidTr="00650D9C">
        <w:trPr>
          <w:gridAfter w:val="1"/>
          <w:wAfter w:w="108" w:type="dxa"/>
        </w:trPr>
        <w:tc>
          <w:tcPr>
            <w:tcW w:w="535" w:type="dxa"/>
            <w:shd w:val="clear" w:color="auto" w:fill="auto"/>
          </w:tcPr>
          <w:p w14:paraId="476F74D8" w14:textId="77777777" w:rsidR="00A67C3E" w:rsidRPr="00D72053" w:rsidRDefault="00A67C3E" w:rsidP="00A67C3E">
            <w:pPr>
              <w:numPr>
                <w:ilvl w:val="0"/>
                <w:numId w:val="41"/>
              </w:numPr>
              <w:jc w:val="left"/>
              <w:rPr>
                <w:rFonts w:ascii="Times New Roman" w:hAnsi="Times New Roman"/>
                <w:sz w:val="24"/>
                <w:szCs w:val="24"/>
              </w:rPr>
            </w:pPr>
          </w:p>
        </w:tc>
        <w:tc>
          <w:tcPr>
            <w:tcW w:w="9071" w:type="dxa"/>
            <w:shd w:val="clear" w:color="auto" w:fill="auto"/>
          </w:tcPr>
          <w:p w14:paraId="19E2526C" w14:textId="77777777" w:rsidR="00A67C3E" w:rsidRPr="00AA614A" w:rsidRDefault="00A67C3E" w:rsidP="001D433A">
            <w:pPr>
              <w:ind w:firstLine="113"/>
              <w:rPr>
                <w:rFonts w:ascii="Times New Roman" w:hAnsi="Times New Roman"/>
                <w:sz w:val="24"/>
                <w:szCs w:val="24"/>
              </w:rPr>
            </w:pPr>
            <w:r w:rsidRPr="00AA614A">
              <w:rPr>
                <w:rFonts w:ascii="Times New Roman" w:hAnsi="Times New Roman"/>
                <w:i/>
                <w:sz w:val="24"/>
                <w:szCs w:val="24"/>
              </w:rPr>
              <w:t xml:space="preserve">Įstatymo </w:t>
            </w:r>
            <w:r w:rsidRPr="00A67C3E">
              <w:rPr>
                <w:rFonts w:ascii="Times New Roman" w:hAnsi="Times New Roman"/>
                <w:i/>
                <w:sz w:val="24"/>
                <w:szCs w:val="24"/>
              </w:rPr>
              <w:t>16 straipsnio 3 dalis</w:t>
            </w:r>
            <w:r w:rsidRPr="00A67C3E">
              <w:rPr>
                <w:rFonts w:ascii="Times New Roman" w:hAnsi="Times New Roman"/>
                <w:i/>
                <w:sz w:val="24"/>
                <w:szCs w:val="24"/>
                <w:vertAlign w:val="superscript"/>
              </w:rPr>
              <w:footnoteReference w:id="3"/>
            </w:r>
            <w:r w:rsidR="00CD599D">
              <w:rPr>
                <w:rFonts w:ascii="Times New Roman" w:hAnsi="Times New Roman"/>
                <w:i/>
                <w:sz w:val="24"/>
                <w:szCs w:val="24"/>
              </w:rPr>
              <w:t xml:space="preserve">, </w:t>
            </w:r>
            <w:r w:rsidR="00CD599D" w:rsidRPr="00D730E5">
              <w:rPr>
                <w:rFonts w:ascii="Times New Roman" w:hAnsi="Times New Roman"/>
                <w:i/>
                <w:sz w:val="24"/>
                <w:szCs w:val="24"/>
              </w:rPr>
              <w:t>Įstatymo 3 straipsnio 1 dalis</w:t>
            </w:r>
            <w:r w:rsidR="00CD599D" w:rsidRPr="00D730E5">
              <w:rPr>
                <w:rStyle w:val="FootnoteReference"/>
                <w:rFonts w:ascii="Times New Roman" w:hAnsi="Times New Roman"/>
                <w:i/>
                <w:sz w:val="24"/>
                <w:szCs w:val="24"/>
              </w:rPr>
              <w:footnoteReference w:id="4"/>
            </w:r>
            <w:r w:rsidR="00CD599D" w:rsidRPr="00D730E5">
              <w:rPr>
                <w:rFonts w:ascii="Times New Roman" w:hAnsi="Times New Roman"/>
                <w:i/>
                <w:sz w:val="24"/>
                <w:szCs w:val="24"/>
              </w:rPr>
              <w:t>, 2 dalis</w:t>
            </w:r>
            <w:r w:rsidR="00CD599D" w:rsidRPr="00D730E5">
              <w:rPr>
                <w:rStyle w:val="FootnoteReference"/>
                <w:rFonts w:ascii="Times New Roman" w:hAnsi="Times New Roman"/>
                <w:i/>
                <w:sz w:val="24"/>
                <w:szCs w:val="24"/>
              </w:rPr>
              <w:footnoteReference w:id="5"/>
            </w:r>
            <w:r w:rsidR="00CD599D" w:rsidRPr="00D730E5">
              <w:rPr>
                <w:rFonts w:ascii="Times New Roman" w:hAnsi="Times New Roman"/>
                <w:i/>
                <w:sz w:val="24"/>
                <w:szCs w:val="24"/>
              </w:rPr>
              <w:t>, 90</w:t>
            </w:r>
            <w:r w:rsidR="00CD599D" w:rsidRPr="00D72053">
              <w:rPr>
                <w:rFonts w:ascii="Times New Roman" w:hAnsi="Times New Roman"/>
                <w:i/>
                <w:sz w:val="24"/>
                <w:szCs w:val="24"/>
              </w:rPr>
              <w:t xml:space="preserve"> straipsnio 2 dalis</w:t>
            </w:r>
            <w:r w:rsidR="00CD599D" w:rsidRPr="00D72053">
              <w:rPr>
                <w:rStyle w:val="FootnoteReference"/>
                <w:rFonts w:ascii="Times New Roman" w:hAnsi="Times New Roman"/>
                <w:i/>
                <w:sz w:val="24"/>
                <w:szCs w:val="24"/>
              </w:rPr>
              <w:t xml:space="preserve"> </w:t>
            </w:r>
            <w:r w:rsidR="00CD599D" w:rsidRPr="00D72053">
              <w:rPr>
                <w:rStyle w:val="FootnoteReference"/>
                <w:rFonts w:ascii="Times New Roman" w:hAnsi="Times New Roman"/>
                <w:i/>
                <w:sz w:val="24"/>
                <w:szCs w:val="24"/>
              </w:rPr>
              <w:footnoteReference w:id="6"/>
            </w:r>
            <w:r w:rsidR="00CD599D" w:rsidRPr="00D72053">
              <w:rPr>
                <w:rFonts w:ascii="Times New Roman" w:hAnsi="Times New Roman"/>
                <w:i/>
                <w:sz w:val="24"/>
                <w:szCs w:val="24"/>
              </w:rPr>
              <w:t>, 3</w:t>
            </w:r>
            <w:r w:rsidR="00CD599D">
              <w:rPr>
                <w:rFonts w:ascii="Times New Roman" w:hAnsi="Times New Roman"/>
                <w:i/>
                <w:sz w:val="24"/>
                <w:szCs w:val="24"/>
              </w:rPr>
              <w:t xml:space="preserve"> dalis</w:t>
            </w:r>
            <w:r w:rsidR="00CD599D" w:rsidRPr="00D72053">
              <w:rPr>
                <w:rStyle w:val="FootnoteReference"/>
                <w:rFonts w:ascii="Times New Roman" w:hAnsi="Times New Roman"/>
                <w:i/>
                <w:sz w:val="24"/>
                <w:szCs w:val="24"/>
              </w:rPr>
              <w:t xml:space="preserve"> </w:t>
            </w:r>
            <w:r w:rsidR="00CD599D" w:rsidRPr="00D72053">
              <w:rPr>
                <w:rStyle w:val="FootnoteReference"/>
                <w:rFonts w:ascii="Times New Roman" w:hAnsi="Times New Roman"/>
                <w:i/>
                <w:sz w:val="24"/>
                <w:szCs w:val="24"/>
              </w:rPr>
              <w:footnoteReference w:id="7"/>
            </w:r>
            <w:r w:rsidR="00CD599D">
              <w:rPr>
                <w:rFonts w:ascii="Times New Roman" w:hAnsi="Times New Roman"/>
                <w:i/>
                <w:sz w:val="24"/>
                <w:szCs w:val="24"/>
              </w:rPr>
              <w:t xml:space="preserve"> </w:t>
            </w:r>
          </w:p>
        </w:tc>
      </w:tr>
      <w:tr w:rsidR="00A67C3E" w:rsidRPr="00196CE1" w14:paraId="092E7683" w14:textId="77777777" w:rsidTr="00F80F1E">
        <w:trPr>
          <w:gridAfter w:val="1"/>
          <w:wAfter w:w="108" w:type="dxa"/>
        </w:trPr>
        <w:tc>
          <w:tcPr>
            <w:tcW w:w="9606" w:type="dxa"/>
            <w:gridSpan w:val="2"/>
            <w:shd w:val="clear" w:color="auto" w:fill="auto"/>
          </w:tcPr>
          <w:p w14:paraId="567FA781" w14:textId="77777777" w:rsidR="00A67C3E" w:rsidRDefault="00A67C3E" w:rsidP="00D20E98">
            <w:pPr>
              <w:pStyle w:val="ListParagraph"/>
              <w:tabs>
                <w:tab w:val="left" w:pos="0"/>
                <w:tab w:val="left" w:pos="993"/>
                <w:tab w:val="left" w:pos="1276"/>
              </w:tabs>
              <w:spacing w:after="0" w:line="240" w:lineRule="auto"/>
              <w:ind w:left="0" w:firstLine="426"/>
              <w:jc w:val="both"/>
              <w:rPr>
                <w:rFonts w:ascii="Times New Roman" w:hAnsi="Times New Roman"/>
                <w:sz w:val="24"/>
                <w:szCs w:val="24"/>
              </w:rPr>
            </w:pPr>
            <w:r w:rsidRPr="00AA614A">
              <w:rPr>
                <w:rFonts w:ascii="Times New Roman" w:hAnsi="Times New Roman"/>
                <w:sz w:val="24"/>
                <w:szCs w:val="24"/>
              </w:rPr>
              <w:lastRenderedPageBreak/>
              <w:t>Perkančios</w:t>
            </w:r>
            <w:r w:rsidR="00441292">
              <w:rPr>
                <w:rFonts w:ascii="Times New Roman" w:hAnsi="Times New Roman"/>
                <w:sz w:val="24"/>
                <w:szCs w:val="24"/>
              </w:rPr>
              <w:t>ios</w:t>
            </w:r>
            <w:r w:rsidRPr="00AA614A">
              <w:rPr>
                <w:rFonts w:ascii="Times New Roman" w:hAnsi="Times New Roman"/>
                <w:sz w:val="24"/>
                <w:szCs w:val="24"/>
              </w:rPr>
              <w:t xml:space="preserve"> organizacijos direktoriaus 2015-01-12 įsakymu Nr. 27V-5 (su vėlesniais pakeitimais) patvirtinta Viešųjų pirkimų komisija</w:t>
            </w:r>
            <w:r>
              <w:rPr>
                <w:rFonts w:ascii="Times New Roman" w:hAnsi="Times New Roman"/>
                <w:sz w:val="24"/>
                <w:szCs w:val="24"/>
              </w:rPr>
              <w:t xml:space="preserve"> (toliau – Komisija) 2017-05-12 posėdyje (protokolas Nr. </w:t>
            </w:r>
            <w:r w:rsidRPr="00D730E5">
              <w:rPr>
                <w:rFonts w:ascii="Times New Roman" w:hAnsi="Times New Roman"/>
                <w:sz w:val="24"/>
                <w:szCs w:val="24"/>
              </w:rPr>
              <w:t>27F9-11(F14-49)) patvirtino Supaprastinto atviro konkurso „Mokymų „Valstybės ir savivaldybių institucijų ir įstaigų vidurinės grandies vadovų strateginių kompetencijų centralizuotas stiprinimas“ paslaugų pirkimo sąlygas, vykdant pirkimą CVP IS priemonėmis, (toliau – Pirkimo sąlygos),</w:t>
            </w:r>
            <w:r>
              <w:rPr>
                <w:rFonts w:ascii="Times New Roman" w:hAnsi="Times New Roman"/>
                <w:sz w:val="24"/>
                <w:szCs w:val="24"/>
              </w:rPr>
              <w:t xml:space="preserve"> tačiau nepateikė motyvų ir skaičiavimų dėl Pirkimo sąlygų </w:t>
            </w:r>
            <w:r w:rsidR="00615748">
              <w:rPr>
                <w:rFonts w:ascii="Times New Roman" w:hAnsi="Times New Roman"/>
                <w:sz w:val="24"/>
                <w:szCs w:val="24"/>
              </w:rPr>
              <w:t>63</w:t>
            </w:r>
            <w:r>
              <w:rPr>
                <w:rFonts w:ascii="Times New Roman" w:hAnsi="Times New Roman"/>
                <w:sz w:val="24"/>
                <w:szCs w:val="24"/>
              </w:rPr>
              <w:t xml:space="preserve"> punkte nustatytų pasiūlymų ekonominio naudingumo vertinimų kriterijams suteikt</w:t>
            </w:r>
            <w:r w:rsidR="00615748">
              <w:rPr>
                <w:rFonts w:ascii="Times New Roman" w:hAnsi="Times New Roman"/>
                <w:sz w:val="24"/>
                <w:szCs w:val="24"/>
              </w:rPr>
              <w:t>ų</w:t>
            </w:r>
            <w:r>
              <w:rPr>
                <w:rFonts w:ascii="Times New Roman" w:hAnsi="Times New Roman"/>
                <w:sz w:val="24"/>
                <w:szCs w:val="24"/>
              </w:rPr>
              <w:t xml:space="preserve"> balų reikšmės ir </w:t>
            </w:r>
            <w:r w:rsidR="00615748">
              <w:rPr>
                <w:rFonts w:ascii="Times New Roman" w:hAnsi="Times New Roman"/>
                <w:sz w:val="24"/>
                <w:szCs w:val="24"/>
              </w:rPr>
              <w:t>jos</w:t>
            </w:r>
            <w:r>
              <w:rPr>
                <w:rFonts w:ascii="Times New Roman" w:hAnsi="Times New Roman"/>
                <w:sz w:val="24"/>
                <w:szCs w:val="24"/>
              </w:rPr>
              <w:t xml:space="preserve"> įtakos Įstatymo 3 straipsnio 2 dalyje nustatytam pirkimų tikslui. </w:t>
            </w:r>
          </w:p>
          <w:p w14:paraId="7A49D162" w14:textId="77777777" w:rsidR="00CD599D" w:rsidRDefault="00CD599D" w:rsidP="00CD599D">
            <w:pPr>
              <w:spacing w:before="0" w:after="0"/>
              <w:ind w:left="57" w:firstLine="510"/>
            </w:pPr>
            <w:r>
              <w:rPr>
                <w:rFonts w:ascii="Times New Roman" w:hAnsi="Times New Roman"/>
                <w:sz w:val="24"/>
                <w:szCs w:val="24"/>
              </w:rPr>
              <w:t xml:space="preserve">Pastebėtina, kad </w:t>
            </w:r>
            <w:r w:rsidR="00C05EF9">
              <w:rPr>
                <w:rFonts w:ascii="Times New Roman" w:hAnsi="Times New Roman"/>
                <w:sz w:val="24"/>
                <w:szCs w:val="24"/>
              </w:rPr>
              <w:t>p</w:t>
            </w:r>
            <w:r>
              <w:rPr>
                <w:rFonts w:ascii="Times New Roman" w:hAnsi="Times New Roman"/>
                <w:sz w:val="24"/>
                <w:szCs w:val="24"/>
              </w:rPr>
              <w:t>agal Pirkimo sąlygų 63 punktą,</w:t>
            </w:r>
            <w:r w:rsidRPr="00196CE1">
              <w:rPr>
                <w:rFonts w:ascii="Times New Roman" w:hAnsi="Times New Roman"/>
                <w:sz w:val="24"/>
                <w:szCs w:val="24"/>
              </w:rPr>
              <w:t xml:space="preserve"> Perkančiosios organizacijos nustatytas kainos lyginamasis svoris </w:t>
            </w:r>
            <w:r w:rsidRPr="00196CE1">
              <w:rPr>
                <w:rFonts w:ascii="Times New Roman" w:hAnsi="Times New Roman"/>
                <w:bCs/>
                <w:sz w:val="24"/>
                <w:szCs w:val="24"/>
              </w:rPr>
              <w:t>ekonominio naudingumo įvertinime</w:t>
            </w:r>
            <w:r w:rsidRPr="00196CE1">
              <w:rPr>
                <w:rFonts w:ascii="Times New Roman" w:hAnsi="Times New Roman"/>
                <w:sz w:val="24"/>
                <w:szCs w:val="24"/>
              </w:rPr>
              <w:t xml:space="preserve"> – </w:t>
            </w:r>
            <w:r>
              <w:rPr>
                <w:rFonts w:ascii="Times New Roman" w:hAnsi="Times New Roman"/>
                <w:sz w:val="24"/>
                <w:szCs w:val="24"/>
              </w:rPr>
              <w:t>2</w:t>
            </w:r>
            <w:r w:rsidRPr="00196CE1">
              <w:rPr>
                <w:rFonts w:ascii="Times New Roman" w:hAnsi="Times New Roman"/>
                <w:sz w:val="24"/>
                <w:szCs w:val="24"/>
              </w:rPr>
              <w:t>0 balų</w:t>
            </w:r>
            <w:r>
              <w:rPr>
                <w:rFonts w:ascii="Times New Roman" w:hAnsi="Times New Roman"/>
                <w:sz w:val="24"/>
                <w:szCs w:val="24"/>
              </w:rPr>
              <w:t xml:space="preserve">, </w:t>
            </w:r>
            <w:r w:rsidRPr="00196CE1">
              <w:rPr>
                <w:rFonts w:ascii="Times New Roman" w:hAnsi="Times New Roman"/>
                <w:sz w:val="24"/>
                <w:szCs w:val="24"/>
              </w:rPr>
              <w:t xml:space="preserve">tuo tarpu </w:t>
            </w:r>
            <w:r w:rsidRPr="00196CE1">
              <w:rPr>
                <w:rFonts w:ascii="Times New Roman" w:hAnsi="Times New Roman"/>
                <w:bCs/>
                <w:sz w:val="24"/>
                <w:szCs w:val="24"/>
              </w:rPr>
              <w:t>didžiausias lyginamasis svoris (</w:t>
            </w:r>
            <w:r>
              <w:rPr>
                <w:rFonts w:ascii="Times New Roman" w:hAnsi="Times New Roman"/>
                <w:bCs/>
                <w:sz w:val="24"/>
                <w:szCs w:val="24"/>
              </w:rPr>
              <w:t>8</w:t>
            </w:r>
            <w:r w:rsidRPr="00196CE1">
              <w:rPr>
                <w:rFonts w:ascii="Times New Roman" w:hAnsi="Times New Roman"/>
                <w:bCs/>
                <w:sz w:val="24"/>
                <w:szCs w:val="24"/>
              </w:rPr>
              <w:t>0 balų) skiriamas</w:t>
            </w:r>
            <w:r>
              <w:rPr>
                <w:rFonts w:ascii="Times New Roman" w:hAnsi="Times New Roman"/>
                <w:sz w:val="24"/>
                <w:szCs w:val="24"/>
              </w:rPr>
              <w:t xml:space="preserve"> </w:t>
            </w:r>
            <w:r w:rsidRPr="00F205CA">
              <w:rPr>
                <w:rFonts w:ascii="Times New Roman" w:hAnsi="Times New Roman"/>
                <w:sz w:val="24"/>
                <w:szCs w:val="24"/>
              </w:rPr>
              <w:t>kriterijams</w:t>
            </w:r>
            <w:r>
              <w:rPr>
                <w:rFonts w:ascii="Times New Roman" w:hAnsi="Times New Roman"/>
                <w:sz w:val="24"/>
                <w:szCs w:val="24"/>
              </w:rPr>
              <w:t xml:space="preserve"> (mokymo </w:t>
            </w:r>
            <w:r w:rsidRPr="00F205CA">
              <w:rPr>
                <w:rFonts w:ascii="Times New Roman" w:hAnsi="Times New Roman"/>
                <w:sz w:val="24"/>
                <w:szCs w:val="24"/>
              </w:rPr>
              <w:t>paslaugų teikimo strategija</w:t>
            </w:r>
            <w:r>
              <w:rPr>
                <w:rFonts w:ascii="Times New Roman" w:hAnsi="Times New Roman"/>
                <w:sz w:val="24"/>
                <w:szCs w:val="24"/>
              </w:rPr>
              <w:t>i</w:t>
            </w:r>
            <w:r w:rsidRPr="00F205CA">
              <w:rPr>
                <w:rFonts w:ascii="Times New Roman" w:hAnsi="Times New Roman"/>
                <w:sz w:val="24"/>
                <w:szCs w:val="24"/>
              </w:rPr>
              <w:t>, jos išsamum</w:t>
            </w:r>
            <w:r>
              <w:rPr>
                <w:rFonts w:ascii="Times New Roman" w:hAnsi="Times New Roman"/>
                <w:sz w:val="24"/>
                <w:szCs w:val="24"/>
              </w:rPr>
              <w:t>ui</w:t>
            </w:r>
            <w:r w:rsidRPr="00F205CA">
              <w:rPr>
                <w:rFonts w:ascii="Times New Roman" w:hAnsi="Times New Roman"/>
                <w:sz w:val="24"/>
                <w:szCs w:val="24"/>
              </w:rPr>
              <w:t xml:space="preserve"> ir nuoseklum</w:t>
            </w:r>
            <w:r>
              <w:rPr>
                <w:rFonts w:ascii="Times New Roman" w:hAnsi="Times New Roman"/>
                <w:sz w:val="24"/>
                <w:szCs w:val="24"/>
              </w:rPr>
              <w:t>ui, pasiūlymo įgyvendinamumui, m</w:t>
            </w:r>
            <w:r w:rsidRPr="00F205CA">
              <w:rPr>
                <w:rFonts w:ascii="Times New Roman" w:hAnsi="Times New Roman"/>
                <w:sz w:val="24"/>
                <w:szCs w:val="24"/>
              </w:rPr>
              <w:t>okymo programų gair</w:t>
            </w:r>
            <w:r>
              <w:rPr>
                <w:rFonts w:ascii="Times New Roman" w:hAnsi="Times New Roman"/>
                <w:sz w:val="24"/>
                <w:szCs w:val="24"/>
              </w:rPr>
              <w:t>i</w:t>
            </w:r>
            <w:r w:rsidRPr="00F205CA">
              <w:rPr>
                <w:rFonts w:ascii="Times New Roman" w:hAnsi="Times New Roman"/>
                <w:sz w:val="24"/>
                <w:szCs w:val="24"/>
              </w:rPr>
              <w:t>ų pritaikym</w:t>
            </w:r>
            <w:r>
              <w:rPr>
                <w:rFonts w:ascii="Times New Roman" w:hAnsi="Times New Roman"/>
                <w:sz w:val="24"/>
                <w:szCs w:val="24"/>
              </w:rPr>
              <w:t>ui</w:t>
            </w:r>
            <w:r w:rsidRPr="00F205CA">
              <w:rPr>
                <w:rFonts w:ascii="Times New Roman" w:hAnsi="Times New Roman"/>
                <w:sz w:val="24"/>
                <w:szCs w:val="24"/>
              </w:rPr>
              <w:t xml:space="preserve"> tikslinei</w:t>
            </w:r>
            <w:r>
              <w:rPr>
                <w:rFonts w:ascii="Times New Roman" w:hAnsi="Times New Roman"/>
                <w:sz w:val="24"/>
                <w:szCs w:val="24"/>
              </w:rPr>
              <w:t xml:space="preserve"> </w:t>
            </w:r>
            <w:r w:rsidRPr="00F205CA">
              <w:rPr>
                <w:rFonts w:ascii="Times New Roman" w:hAnsi="Times New Roman"/>
                <w:sz w:val="24"/>
                <w:szCs w:val="24"/>
              </w:rPr>
              <w:t>grupei ir šių programų kokybės užtikrinimo mechanizm</w:t>
            </w:r>
            <w:r>
              <w:rPr>
                <w:rFonts w:ascii="Times New Roman" w:hAnsi="Times New Roman"/>
                <w:sz w:val="24"/>
                <w:szCs w:val="24"/>
              </w:rPr>
              <w:t xml:space="preserve">ui), kurie įvertinami ne pagal objektyvius faktinius duomenis (žr. išnašą Nr. </w:t>
            </w:r>
            <w:r w:rsidRPr="00866B65">
              <w:rPr>
                <w:rStyle w:val="FootnoteReference"/>
                <w:rFonts w:ascii="Times New Roman" w:hAnsi="Times New Roman"/>
                <w:i/>
                <w:sz w:val="24"/>
                <w:szCs w:val="24"/>
                <w:vertAlign w:val="baseline"/>
              </w:rPr>
              <w:footnoteReference w:id="8"/>
            </w:r>
            <w:r>
              <w:rPr>
                <w:rFonts w:ascii="Times New Roman" w:hAnsi="Times New Roman"/>
                <w:sz w:val="24"/>
                <w:szCs w:val="24"/>
              </w:rPr>
              <w:t xml:space="preserve">), o iš esmės tik pagal tiekėjo </w:t>
            </w:r>
            <w:r>
              <w:rPr>
                <w:rFonts w:ascii="Times New Roman" w:hAnsi="Times New Roman"/>
                <w:bCs/>
                <w:sz w:val="24"/>
                <w:szCs w:val="24"/>
              </w:rPr>
              <w:t xml:space="preserve">gebėjimus aiškiai, nuosekliai ir plačiai aprašyti </w:t>
            </w:r>
            <w:r w:rsidRPr="00E84713">
              <w:rPr>
                <w:rFonts w:ascii="Times New Roman" w:hAnsi="Times New Roman"/>
                <w:b/>
                <w:bCs/>
                <w:sz w:val="24"/>
                <w:szCs w:val="24"/>
              </w:rPr>
              <w:t>numatomas</w:t>
            </w:r>
            <w:r>
              <w:rPr>
                <w:rFonts w:ascii="Times New Roman" w:hAnsi="Times New Roman"/>
                <w:bCs/>
                <w:sz w:val="24"/>
                <w:szCs w:val="24"/>
              </w:rPr>
              <w:t xml:space="preserve"> teikti paslaugas. Balai, turintys svarią įtaką laimėtojo nustatymui, bus suteikiami pagal subjektyvų tiekėjų pasiūlymų </w:t>
            </w:r>
            <w:r>
              <w:rPr>
                <w:rFonts w:ascii="Times New Roman" w:hAnsi="Times New Roman"/>
                <w:bCs/>
                <w:color w:val="000000"/>
                <w:sz w:val="24"/>
                <w:szCs w:val="24"/>
              </w:rPr>
              <w:t xml:space="preserve">vertinimą ir skirtingą tiekėjų ir Perkančiosios organizacijos </w:t>
            </w:r>
            <w:r w:rsidR="00D730E5">
              <w:rPr>
                <w:rFonts w:ascii="Times New Roman" w:hAnsi="Times New Roman"/>
                <w:bCs/>
                <w:color w:val="000000"/>
                <w:sz w:val="24"/>
                <w:szCs w:val="24"/>
              </w:rPr>
              <w:t>Perkamoms paslaugoms keliamų</w:t>
            </w:r>
            <w:r>
              <w:rPr>
                <w:rFonts w:ascii="Times New Roman" w:hAnsi="Times New Roman"/>
                <w:bCs/>
                <w:color w:val="000000"/>
                <w:sz w:val="24"/>
                <w:szCs w:val="24"/>
              </w:rPr>
              <w:t xml:space="preserve"> reikalavimų supratimą </w:t>
            </w:r>
            <w:r>
              <w:rPr>
                <w:rFonts w:ascii="Times New Roman" w:hAnsi="Times New Roman"/>
                <w:sz w:val="24"/>
                <w:szCs w:val="24"/>
              </w:rPr>
              <w:t xml:space="preserve">(žr. išnašą Nr. </w:t>
            </w:r>
            <w:r w:rsidRPr="00866B65">
              <w:rPr>
                <w:rStyle w:val="FootnoteReference"/>
                <w:rFonts w:ascii="Times New Roman" w:hAnsi="Times New Roman"/>
                <w:i/>
                <w:sz w:val="24"/>
                <w:szCs w:val="24"/>
                <w:vertAlign w:val="baseline"/>
              </w:rPr>
              <w:footnoteReference w:id="9"/>
            </w:r>
            <w:r>
              <w:rPr>
                <w:rFonts w:ascii="Times New Roman" w:hAnsi="Times New Roman"/>
                <w:sz w:val="24"/>
                <w:szCs w:val="24"/>
              </w:rPr>
              <w:t>)</w:t>
            </w:r>
            <w:r>
              <w:rPr>
                <w:rFonts w:ascii="Times New Roman" w:hAnsi="Times New Roman"/>
                <w:bCs/>
                <w:color w:val="000000"/>
                <w:sz w:val="24"/>
                <w:szCs w:val="24"/>
              </w:rPr>
              <w:t xml:space="preserve">, </w:t>
            </w:r>
            <w:r>
              <w:rPr>
                <w:rFonts w:ascii="Times New Roman" w:hAnsi="Times New Roman"/>
                <w:bCs/>
                <w:sz w:val="24"/>
                <w:szCs w:val="24"/>
              </w:rPr>
              <w:t xml:space="preserve">tačiau faktiškai viešojo pirkimo-pardavimo sutarties projekte nėra nustatytas tiekėjo aprašymuose nurodytų priemonių kontrolės mechanizmas, todėl </w:t>
            </w:r>
            <w:r>
              <w:rPr>
                <w:rFonts w:ascii="Times New Roman" w:hAnsi="Times New Roman"/>
                <w:sz w:val="24"/>
                <w:szCs w:val="24"/>
              </w:rPr>
              <w:t>Tarnyba sprendžia, kad Pirkimo sąlygose nustatyti ekonomiškai naudingiausio pasiūlymo vertinimo kriterijų skiriamų balų dydžiai</w:t>
            </w:r>
            <w:r>
              <w:rPr>
                <w:rFonts w:ascii="Times New Roman" w:hAnsi="Times New Roman"/>
                <w:color w:val="000000"/>
                <w:sz w:val="24"/>
                <w:szCs w:val="24"/>
              </w:rPr>
              <w:t xml:space="preserve"> nustatyti neproporcingi ekonominei pasiūlymo naudai bei </w:t>
            </w:r>
            <w:r>
              <w:rPr>
                <w:rFonts w:ascii="Times New Roman" w:hAnsi="Times New Roman"/>
                <w:sz w:val="24"/>
                <w:szCs w:val="24"/>
              </w:rPr>
              <w:t>neužtikrina ekonomiškai naudingiausio pasiūlymo pasirinkimo</w:t>
            </w:r>
            <w:r>
              <w:rPr>
                <w:rFonts w:ascii="Times New Roman" w:hAnsi="Times New Roman"/>
                <w:color w:val="000000"/>
                <w:sz w:val="24"/>
                <w:szCs w:val="24"/>
              </w:rPr>
              <w:t xml:space="preserve">, </w:t>
            </w:r>
            <w:r>
              <w:rPr>
                <w:rFonts w:ascii="Times New Roman" w:hAnsi="Times New Roman"/>
                <w:sz w:val="24"/>
                <w:szCs w:val="24"/>
              </w:rPr>
              <w:t>tuo pažeidžiant Įstatymo 3 straipsnio 1 dalyje įtvirtintus skaidrumo, proporcingumo ir lygiateisiškumo principus bei šio straipsnio 2 dalyje įtvirtinto pirkimų tikslo siekimą.</w:t>
            </w:r>
            <w:r>
              <w:rPr>
                <w:rFonts w:ascii="Times New Roman" w:hAnsi="Times New Roman"/>
                <w:bCs/>
                <w:sz w:val="24"/>
                <w:szCs w:val="24"/>
              </w:rPr>
              <w:t xml:space="preserve">  </w:t>
            </w:r>
          </w:p>
          <w:p w14:paraId="7CF28E6A" w14:textId="77777777" w:rsidR="00CD599D" w:rsidRPr="00946CD2" w:rsidRDefault="00CD599D" w:rsidP="00CD599D">
            <w:pPr>
              <w:spacing w:before="0" w:after="0"/>
              <w:ind w:firstLine="426"/>
              <w:rPr>
                <w:rFonts w:ascii="Times New Roman" w:hAnsi="Times New Roman"/>
                <w:sz w:val="24"/>
                <w:szCs w:val="24"/>
              </w:rPr>
            </w:pPr>
            <w:r w:rsidRPr="00946CD2">
              <w:rPr>
                <w:rFonts w:ascii="Times New Roman" w:hAnsi="Times New Roman"/>
                <w:sz w:val="24"/>
                <w:szCs w:val="24"/>
              </w:rPr>
              <w:t xml:space="preserve">Tarnyba atkreipia dėmesį į tai, kad Perkančioji organizacija nusprendusi vykdyti Pirkimą pagal ekonomiškai naudingiausio pasiūlymo vertinimo kriterijus, pirmiausiai turėjo įvertini, ar pasirinkti ekonomiškai naudingiausio pasiūlymo vertinimo kriterijai atspindi potencialią ekonominę naudą, ar padidins perkamo objekto naudojimo efektyvumą, ar bus pasiekti konkretūs Pirkimo tikslai, o tokie sprendimai motyvuoti iki viešojo pirkimo pradžios, t. y. Perkančioji organizacija turėtų turėti pagrindžiančius dokumentus (pvz.: Pirkimo paraiškoje, Viešųjų pirkimų </w:t>
            </w:r>
            <w:r w:rsidRPr="00946CD2">
              <w:rPr>
                <w:rFonts w:ascii="Times New Roman" w:hAnsi="Times New Roman"/>
                <w:sz w:val="24"/>
                <w:szCs w:val="24"/>
              </w:rPr>
              <w:lastRenderedPageBreak/>
              <w:t>komisijos posėdžio protokole, Pirkimo iniciatoriaus pildomuose ar kituose dokumentuose) dėl kokių priežasčių pasirinkti vieni ar kiti ekonomiškai naudingiausio pasiūlymo vertinimo kriterijai, jų parametrai, kodėl jiems suteikti vieni ar kiti lyginamieji svoriai, ir kokia jų įtaka perkamo objekto naudojimo efektyvumui bei potencialiai ekonominei naudai.</w:t>
            </w:r>
          </w:p>
          <w:p w14:paraId="004E756B" w14:textId="77777777" w:rsidR="00CD599D" w:rsidRDefault="00CD599D" w:rsidP="00CD599D">
            <w:pPr>
              <w:spacing w:before="0" w:after="0"/>
              <w:ind w:firstLine="426"/>
              <w:rPr>
                <w:rFonts w:ascii="Times New Roman" w:hAnsi="Times New Roman"/>
                <w:bCs/>
                <w:sz w:val="24"/>
                <w:szCs w:val="24"/>
              </w:rPr>
            </w:pPr>
            <w:r w:rsidRPr="00946CD2">
              <w:rPr>
                <w:rFonts w:ascii="Times New Roman" w:hAnsi="Times New Roman"/>
                <w:sz w:val="24"/>
                <w:szCs w:val="24"/>
              </w:rPr>
              <w:t>Tuo pačiu, Perkančioji organizacija viešojo pirkimo-pardavimo sutartyje turėjo aiškiai ir tiksliai nustatyti kaip bus kontroliuojamos tiekėjų pateiktuose aprašymuose (dėl ekonominio naudingumo vertinimo kriterijų) nurodytų priemonių taikymas realiai įgyvendinant viešojo pirkimo-pardavimo sutartį.</w:t>
            </w:r>
            <w:r>
              <w:rPr>
                <w:rFonts w:ascii="Times New Roman" w:hAnsi="Times New Roman"/>
                <w:sz w:val="24"/>
                <w:szCs w:val="24"/>
              </w:rPr>
              <w:t xml:space="preserve"> </w:t>
            </w:r>
          </w:p>
          <w:p w14:paraId="5CFB358E" w14:textId="77777777" w:rsidR="00CD599D" w:rsidRPr="009E4B32" w:rsidRDefault="00CD599D" w:rsidP="00CD599D">
            <w:pPr>
              <w:pStyle w:val="ColorfulList-Accent11"/>
              <w:spacing w:before="0" w:after="0"/>
              <w:ind w:left="0"/>
              <w:rPr>
                <w:rFonts w:ascii="Times New Roman" w:hAnsi="Times New Roman"/>
                <w:sz w:val="24"/>
                <w:szCs w:val="24"/>
              </w:rPr>
            </w:pPr>
            <w:r>
              <w:rPr>
                <w:rFonts w:ascii="Times New Roman" w:hAnsi="Times New Roman"/>
                <w:bCs/>
                <w:sz w:val="24"/>
                <w:szCs w:val="24"/>
              </w:rPr>
              <w:t xml:space="preserve">Atsižvelgdama į tai, </w:t>
            </w:r>
            <w:r w:rsidRPr="009E4B32">
              <w:rPr>
                <w:rFonts w:ascii="Times New Roman" w:hAnsi="Times New Roman"/>
                <w:bCs/>
                <w:sz w:val="24"/>
                <w:szCs w:val="24"/>
              </w:rPr>
              <w:t xml:space="preserve">Tarnyba rekomenduoja kainos lyginamąjį svorį </w:t>
            </w:r>
            <w:r w:rsidR="00946CD2">
              <w:rPr>
                <w:rFonts w:ascii="Times New Roman" w:hAnsi="Times New Roman"/>
                <w:bCs/>
                <w:sz w:val="24"/>
                <w:szCs w:val="24"/>
              </w:rPr>
              <w:t xml:space="preserve">tokio pobūdžio pirkimuose </w:t>
            </w:r>
            <w:r w:rsidRPr="009E4B32">
              <w:rPr>
                <w:rFonts w:ascii="Times New Roman" w:hAnsi="Times New Roman"/>
                <w:bCs/>
                <w:sz w:val="24"/>
                <w:szCs w:val="24"/>
              </w:rPr>
              <w:t xml:space="preserve">nustatyti </w:t>
            </w:r>
            <w:r w:rsidR="00946CD2">
              <w:rPr>
                <w:rFonts w:ascii="Times New Roman" w:hAnsi="Times New Roman"/>
                <w:bCs/>
                <w:sz w:val="24"/>
                <w:szCs w:val="24"/>
              </w:rPr>
              <w:t xml:space="preserve">ne </w:t>
            </w:r>
            <w:r>
              <w:rPr>
                <w:rFonts w:ascii="Times New Roman" w:hAnsi="Times New Roman"/>
                <w:sz w:val="24"/>
                <w:szCs w:val="24"/>
              </w:rPr>
              <w:t>mažesn</w:t>
            </w:r>
            <w:r w:rsidR="00946CD2">
              <w:rPr>
                <w:rFonts w:ascii="Times New Roman" w:hAnsi="Times New Roman"/>
                <w:sz w:val="24"/>
                <w:szCs w:val="24"/>
              </w:rPr>
              <w:t>į</w:t>
            </w:r>
            <w:r>
              <w:rPr>
                <w:rFonts w:ascii="Times New Roman" w:hAnsi="Times New Roman"/>
                <w:sz w:val="24"/>
                <w:szCs w:val="24"/>
              </w:rPr>
              <w:t xml:space="preserve"> kaip </w:t>
            </w:r>
            <w:r w:rsidR="006621D9">
              <w:rPr>
                <w:rFonts w:ascii="Times New Roman" w:hAnsi="Times New Roman"/>
                <w:sz w:val="24"/>
                <w:szCs w:val="24"/>
              </w:rPr>
              <w:t>8</w:t>
            </w:r>
            <w:r w:rsidR="00946CD2">
              <w:rPr>
                <w:rFonts w:ascii="Times New Roman" w:hAnsi="Times New Roman"/>
                <w:sz w:val="24"/>
                <w:szCs w:val="24"/>
              </w:rPr>
              <w:t>0-</w:t>
            </w:r>
            <w:r w:rsidR="006621D9">
              <w:rPr>
                <w:rFonts w:ascii="Times New Roman" w:hAnsi="Times New Roman"/>
                <w:sz w:val="24"/>
                <w:szCs w:val="24"/>
              </w:rPr>
              <w:t>9</w:t>
            </w:r>
            <w:r w:rsidRPr="00946CD2">
              <w:rPr>
                <w:rFonts w:ascii="Times New Roman" w:hAnsi="Times New Roman"/>
                <w:sz w:val="24"/>
                <w:szCs w:val="24"/>
              </w:rPr>
              <w:t>0 balų</w:t>
            </w:r>
            <w:r w:rsidRPr="009E4B32">
              <w:rPr>
                <w:rFonts w:ascii="Times New Roman" w:hAnsi="Times New Roman"/>
                <w:sz w:val="24"/>
                <w:szCs w:val="24"/>
              </w:rPr>
              <w:t xml:space="preserve">. </w:t>
            </w:r>
          </w:p>
          <w:p w14:paraId="2C425E75" w14:textId="77777777" w:rsidR="00CD599D" w:rsidRPr="007E5ABF" w:rsidRDefault="00CD599D" w:rsidP="00CD599D">
            <w:pPr>
              <w:pStyle w:val="ListParagraph"/>
              <w:tabs>
                <w:tab w:val="left" w:pos="0"/>
                <w:tab w:val="left" w:pos="993"/>
                <w:tab w:val="left" w:pos="1276"/>
              </w:tabs>
              <w:spacing w:after="0" w:line="240" w:lineRule="auto"/>
              <w:ind w:left="0" w:firstLine="426"/>
              <w:jc w:val="both"/>
              <w:rPr>
                <w:rFonts w:ascii="Times New Roman" w:hAnsi="Times New Roman"/>
                <w:sz w:val="24"/>
                <w:szCs w:val="24"/>
              </w:rPr>
            </w:pPr>
            <w:r w:rsidRPr="009E4B32">
              <w:rPr>
                <w:rFonts w:ascii="Times New Roman" w:hAnsi="Times New Roman"/>
                <w:bCs/>
                <w:sz w:val="24"/>
                <w:szCs w:val="24"/>
              </w:rPr>
              <w:t xml:space="preserve">Papildomai Tarnyba atkreipia dėmesį, kad </w:t>
            </w:r>
            <w:r>
              <w:rPr>
                <w:rFonts w:ascii="Times New Roman" w:hAnsi="Times New Roman"/>
                <w:bCs/>
                <w:sz w:val="24"/>
                <w:szCs w:val="24"/>
              </w:rPr>
              <w:t xml:space="preserve">atvejais, kai labai svarbu įvertinti ir </w:t>
            </w:r>
            <w:r w:rsidRPr="009E4B32">
              <w:rPr>
                <w:rFonts w:ascii="Times New Roman" w:hAnsi="Times New Roman"/>
                <w:bCs/>
                <w:sz w:val="24"/>
                <w:szCs w:val="24"/>
              </w:rPr>
              <w:t>kit</w:t>
            </w:r>
            <w:r>
              <w:rPr>
                <w:rFonts w:ascii="Times New Roman" w:hAnsi="Times New Roman"/>
                <w:bCs/>
                <w:sz w:val="24"/>
                <w:szCs w:val="24"/>
              </w:rPr>
              <w:t>us</w:t>
            </w:r>
            <w:r w:rsidRPr="009E4B32">
              <w:rPr>
                <w:rFonts w:ascii="Times New Roman" w:hAnsi="Times New Roman"/>
                <w:bCs/>
                <w:sz w:val="24"/>
                <w:szCs w:val="24"/>
              </w:rPr>
              <w:t xml:space="preserve"> kriterij</w:t>
            </w:r>
            <w:r>
              <w:rPr>
                <w:rFonts w:ascii="Times New Roman" w:hAnsi="Times New Roman"/>
                <w:bCs/>
                <w:sz w:val="24"/>
                <w:szCs w:val="24"/>
              </w:rPr>
              <w:t>u</w:t>
            </w:r>
            <w:r w:rsidRPr="009E4B32">
              <w:rPr>
                <w:rFonts w:ascii="Times New Roman" w:hAnsi="Times New Roman"/>
                <w:bCs/>
                <w:sz w:val="24"/>
                <w:szCs w:val="24"/>
              </w:rPr>
              <w:t>s (</w:t>
            </w:r>
            <w:r>
              <w:rPr>
                <w:rFonts w:ascii="Times New Roman" w:hAnsi="Times New Roman"/>
                <w:bCs/>
                <w:sz w:val="24"/>
                <w:szCs w:val="24"/>
              </w:rPr>
              <w:t>be</w:t>
            </w:r>
            <w:r w:rsidRPr="009E4B32">
              <w:rPr>
                <w:rFonts w:ascii="Times New Roman" w:hAnsi="Times New Roman"/>
                <w:bCs/>
                <w:sz w:val="24"/>
                <w:szCs w:val="24"/>
              </w:rPr>
              <w:t xml:space="preserve"> kain</w:t>
            </w:r>
            <w:r>
              <w:rPr>
                <w:rFonts w:ascii="Times New Roman" w:hAnsi="Times New Roman"/>
                <w:bCs/>
                <w:sz w:val="24"/>
                <w:szCs w:val="24"/>
              </w:rPr>
              <w:t>os</w:t>
            </w:r>
            <w:r w:rsidRPr="009E4B32">
              <w:rPr>
                <w:rFonts w:ascii="Times New Roman" w:hAnsi="Times New Roman"/>
                <w:bCs/>
                <w:sz w:val="24"/>
                <w:szCs w:val="24"/>
              </w:rPr>
              <w:t>)</w:t>
            </w:r>
            <w:r>
              <w:rPr>
                <w:rFonts w:ascii="Times New Roman" w:hAnsi="Times New Roman"/>
                <w:bCs/>
                <w:sz w:val="24"/>
                <w:szCs w:val="24"/>
              </w:rPr>
              <w:t>,</w:t>
            </w:r>
            <w:r w:rsidRPr="009E4B32">
              <w:rPr>
                <w:rFonts w:ascii="Times New Roman" w:hAnsi="Times New Roman"/>
                <w:bCs/>
                <w:sz w:val="24"/>
                <w:szCs w:val="24"/>
              </w:rPr>
              <w:t xml:space="preserve"> Perkančioji organizacija gali rinktis viešojo pirkimo būdą, kurio metu būtų </w:t>
            </w:r>
            <w:r w:rsidR="00946CD2">
              <w:rPr>
                <w:rFonts w:ascii="Times New Roman" w:hAnsi="Times New Roman"/>
                <w:bCs/>
                <w:sz w:val="24"/>
                <w:szCs w:val="24"/>
              </w:rPr>
              <w:t>atliekama</w:t>
            </w:r>
            <w:r w:rsidRPr="009E4B32">
              <w:rPr>
                <w:rFonts w:ascii="Times New Roman" w:hAnsi="Times New Roman"/>
                <w:bCs/>
                <w:sz w:val="24"/>
                <w:szCs w:val="24"/>
              </w:rPr>
              <w:t xml:space="preserve"> </w:t>
            </w:r>
            <w:r>
              <w:rPr>
                <w:rFonts w:ascii="Times New Roman" w:hAnsi="Times New Roman"/>
                <w:bCs/>
                <w:sz w:val="24"/>
                <w:szCs w:val="24"/>
              </w:rPr>
              <w:t xml:space="preserve">tiekėjų </w:t>
            </w:r>
            <w:r w:rsidRPr="009E4B32">
              <w:rPr>
                <w:rFonts w:ascii="Times New Roman" w:hAnsi="Times New Roman"/>
                <w:bCs/>
                <w:sz w:val="24"/>
                <w:szCs w:val="24"/>
              </w:rPr>
              <w:t>kvalifikacinė atranka.</w:t>
            </w:r>
          </w:p>
        </w:tc>
      </w:tr>
      <w:tr w:rsidR="008B391B" w:rsidRPr="003B4E55" w14:paraId="4E30150F" w14:textId="77777777" w:rsidTr="00650D9C">
        <w:trPr>
          <w:gridAfter w:val="1"/>
          <w:wAfter w:w="108" w:type="dxa"/>
        </w:trPr>
        <w:tc>
          <w:tcPr>
            <w:tcW w:w="535" w:type="dxa"/>
            <w:shd w:val="clear" w:color="auto" w:fill="auto"/>
          </w:tcPr>
          <w:p w14:paraId="5685486B" w14:textId="77777777" w:rsidR="008B391B" w:rsidRPr="00D72053" w:rsidRDefault="008B391B" w:rsidP="008B391B">
            <w:pPr>
              <w:numPr>
                <w:ilvl w:val="0"/>
                <w:numId w:val="41"/>
              </w:numPr>
              <w:jc w:val="left"/>
              <w:rPr>
                <w:rFonts w:ascii="Times New Roman" w:hAnsi="Times New Roman"/>
                <w:sz w:val="24"/>
                <w:szCs w:val="24"/>
              </w:rPr>
            </w:pPr>
          </w:p>
        </w:tc>
        <w:tc>
          <w:tcPr>
            <w:tcW w:w="9071" w:type="dxa"/>
            <w:shd w:val="clear" w:color="auto" w:fill="auto"/>
          </w:tcPr>
          <w:p w14:paraId="52381FFD" w14:textId="77777777" w:rsidR="008B391B" w:rsidRPr="003B4E55" w:rsidRDefault="008B391B" w:rsidP="00064D4A">
            <w:pPr>
              <w:ind w:firstLine="113"/>
              <w:rPr>
                <w:rFonts w:ascii="Times New Roman" w:hAnsi="Times New Roman"/>
                <w:sz w:val="24"/>
                <w:szCs w:val="24"/>
              </w:rPr>
            </w:pPr>
            <w:r w:rsidRPr="003B4E55">
              <w:rPr>
                <w:rFonts w:ascii="Times New Roman" w:hAnsi="Times New Roman"/>
                <w:i/>
                <w:sz w:val="24"/>
                <w:szCs w:val="24"/>
              </w:rPr>
              <w:t>Įstatymo 3 straipsnio 1 dalis</w:t>
            </w:r>
            <w:r w:rsidRPr="003B4E55">
              <w:rPr>
                <w:rStyle w:val="FootnoteReference"/>
                <w:rFonts w:ascii="Times New Roman" w:hAnsi="Times New Roman"/>
                <w:i/>
                <w:sz w:val="24"/>
                <w:szCs w:val="24"/>
              </w:rPr>
              <w:footnoteReference w:id="10"/>
            </w:r>
            <w:r w:rsidRPr="003B4E55">
              <w:rPr>
                <w:rFonts w:ascii="Times New Roman" w:hAnsi="Times New Roman"/>
                <w:i/>
                <w:sz w:val="24"/>
                <w:szCs w:val="24"/>
              </w:rPr>
              <w:t>, 2 dalis</w:t>
            </w:r>
            <w:r w:rsidRPr="003B4E55">
              <w:rPr>
                <w:rStyle w:val="FootnoteReference"/>
                <w:rFonts w:ascii="Times New Roman" w:hAnsi="Times New Roman"/>
                <w:i/>
                <w:sz w:val="24"/>
                <w:szCs w:val="24"/>
              </w:rPr>
              <w:footnoteReference w:id="11"/>
            </w:r>
          </w:p>
        </w:tc>
      </w:tr>
      <w:tr w:rsidR="00DE35DF" w:rsidRPr="00196CE1" w14:paraId="7241C0EC" w14:textId="77777777" w:rsidTr="00F80F1E">
        <w:trPr>
          <w:gridAfter w:val="1"/>
          <w:wAfter w:w="108" w:type="dxa"/>
        </w:trPr>
        <w:tc>
          <w:tcPr>
            <w:tcW w:w="9606" w:type="dxa"/>
            <w:gridSpan w:val="2"/>
            <w:shd w:val="clear" w:color="auto" w:fill="auto"/>
          </w:tcPr>
          <w:p w14:paraId="25A4CCB9" w14:textId="77777777" w:rsidR="00F3755D" w:rsidRPr="003B4E55" w:rsidRDefault="00BE6155" w:rsidP="00E5018E">
            <w:pPr>
              <w:spacing w:before="0" w:after="0"/>
              <w:rPr>
                <w:rFonts w:ascii="Times New Roman" w:hAnsi="Times New Roman"/>
                <w:sz w:val="24"/>
                <w:szCs w:val="24"/>
              </w:rPr>
            </w:pPr>
            <w:r w:rsidRPr="003B4E55">
              <w:rPr>
                <w:rFonts w:ascii="Times New Roman" w:hAnsi="Times New Roman"/>
                <w:sz w:val="24"/>
                <w:szCs w:val="24"/>
              </w:rPr>
              <w:t>Pirkimo sąlyg</w:t>
            </w:r>
            <w:r w:rsidR="00E84713" w:rsidRPr="003B4E55">
              <w:rPr>
                <w:rFonts w:ascii="Times New Roman" w:hAnsi="Times New Roman"/>
                <w:sz w:val="24"/>
                <w:szCs w:val="24"/>
              </w:rPr>
              <w:t>ų</w:t>
            </w:r>
            <w:r w:rsidRPr="003B4E55">
              <w:rPr>
                <w:rFonts w:ascii="Times New Roman" w:hAnsi="Times New Roman"/>
                <w:sz w:val="24"/>
                <w:szCs w:val="24"/>
              </w:rPr>
              <w:t xml:space="preserve"> </w:t>
            </w:r>
            <w:r w:rsidR="00D97C18" w:rsidRPr="003B4E55">
              <w:rPr>
                <w:rFonts w:ascii="Times New Roman" w:hAnsi="Times New Roman"/>
                <w:sz w:val="24"/>
                <w:szCs w:val="24"/>
              </w:rPr>
              <w:t xml:space="preserve">priedo Nr. 2 „Techninė specifikacija &lt;...&gt;“ 4.1 punkte numatyta, kad „Pirkimo objektas – </w:t>
            </w:r>
            <w:r w:rsidR="00946CD2">
              <w:rPr>
                <w:rFonts w:ascii="Times New Roman" w:hAnsi="Times New Roman"/>
                <w:sz w:val="24"/>
                <w:szCs w:val="24"/>
              </w:rPr>
              <w:t>k</w:t>
            </w:r>
            <w:r w:rsidR="00D97C18" w:rsidRPr="003B4E55">
              <w:rPr>
                <w:rFonts w:ascii="Times New Roman" w:hAnsi="Times New Roman"/>
                <w:sz w:val="24"/>
                <w:szCs w:val="24"/>
              </w:rPr>
              <w:t xml:space="preserve">eturių mokymo programų parengimas ir patvirtinimas teisės aktų, reglamentuojančių valstybės tarnautojų mokymą, nustatyta tvarka“. </w:t>
            </w:r>
            <w:r w:rsidR="009B7A40">
              <w:rPr>
                <w:rFonts w:ascii="Times New Roman" w:hAnsi="Times New Roman"/>
                <w:sz w:val="24"/>
                <w:szCs w:val="24"/>
              </w:rPr>
              <w:t>Punkte numatytos mokymo programos: 1. Lyderystės gebėjimų stiprinimas; 2. Veiklos valdymo gebėjimų stiprinimas; 3. Strateginio požiūrio gebėjimų stiprinimas; 4. Komunikacijos įgūdžių stiprinimas.</w:t>
            </w:r>
            <w:r w:rsidR="009B7A40" w:rsidRPr="003B4E55">
              <w:rPr>
                <w:rFonts w:ascii="Times New Roman" w:hAnsi="Times New Roman"/>
                <w:sz w:val="24"/>
                <w:szCs w:val="24"/>
              </w:rPr>
              <w:t xml:space="preserve"> </w:t>
            </w:r>
            <w:r w:rsidR="00D97C18" w:rsidRPr="003B4E55">
              <w:rPr>
                <w:rFonts w:ascii="Times New Roman" w:hAnsi="Times New Roman"/>
                <w:sz w:val="24"/>
                <w:szCs w:val="24"/>
              </w:rPr>
              <w:t xml:space="preserve">Pagal 4.2 punktą numatytas „tikslinės grupės (ne mažiau nei 3200 asmenų) kompetencijų ugdymas pagal 4.1 papunktyje nurodytas mokymo programas (pagal kiekvieną mokymo programą apmokyta ne mažiau nei 800 asmenų)“. </w:t>
            </w:r>
            <w:r w:rsidR="00F374DA" w:rsidRPr="003B4E55">
              <w:rPr>
                <w:rFonts w:ascii="Times New Roman" w:hAnsi="Times New Roman"/>
                <w:sz w:val="24"/>
                <w:szCs w:val="24"/>
              </w:rPr>
              <w:t>Teikdama paaiškinimą dėl unikalaus projekto dalyvių skaičiaus (2017-06-19 atsakymas į 4 klausimą (CVP IS pranešimas Nr. 5325988))</w:t>
            </w:r>
            <w:r w:rsidR="00247B1E" w:rsidRPr="003B4E55">
              <w:rPr>
                <w:rFonts w:ascii="Times New Roman" w:hAnsi="Times New Roman"/>
                <w:sz w:val="24"/>
                <w:szCs w:val="24"/>
              </w:rPr>
              <w:t xml:space="preserve">, </w:t>
            </w:r>
            <w:r w:rsidR="00F374DA" w:rsidRPr="003B4E55">
              <w:rPr>
                <w:rFonts w:ascii="Times New Roman" w:hAnsi="Times New Roman"/>
                <w:sz w:val="24"/>
                <w:szCs w:val="24"/>
              </w:rPr>
              <w:t xml:space="preserve">Perkančioji organizacija tiekėjams </w:t>
            </w:r>
            <w:r w:rsidR="00247B1E" w:rsidRPr="003B4E55">
              <w:rPr>
                <w:rFonts w:ascii="Times New Roman" w:hAnsi="Times New Roman"/>
                <w:sz w:val="24"/>
                <w:szCs w:val="24"/>
              </w:rPr>
              <w:t>nurodė, kad „&lt;...&gt;</w:t>
            </w:r>
            <w:r w:rsidR="00F374DA" w:rsidRPr="003B4E55">
              <w:rPr>
                <w:rFonts w:ascii="Times New Roman" w:hAnsi="Times New Roman"/>
                <w:sz w:val="24"/>
                <w:szCs w:val="24"/>
              </w:rPr>
              <w:t xml:space="preserve"> tas pats asmuo, dalyvavęs keliose to paties projekto veiklose, skaičiuojamas vieną kartą“.</w:t>
            </w:r>
            <w:r w:rsidR="00247B1E" w:rsidRPr="003B4E55">
              <w:rPr>
                <w:rFonts w:ascii="Times New Roman" w:hAnsi="Times New Roman"/>
                <w:sz w:val="24"/>
                <w:szCs w:val="24"/>
              </w:rPr>
              <w:t xml:space="preserve"> </w:t>
            </w:r>
            <w:r w:rsidR="00D97C18" w:rsidRPr="003B4E55">
              <w:rPr>
                <w:rFonts w:ascii="Times New Roman" w:hAnsi="Times New Roman"/>
                <w:sz w:val="24"/>
                <w:szCs w:val="24"/>
              </w:rPr>
              <w:t xml:space="preserve">Tačiau Pirkimo sąlygų </w:t>
            </w:r>
            <w:r w:rsidR="00F3755D" w:rsidRPr="003B4E55">
              <w:rPr>
                <w:rFonts w:ascii="Times New Roman" w:hAnsi="Times New Roman"/>
                <w:sz w:val="24"/>
                <w:szCs w:val="24"/>
              </w:rPr>
              <w:t xml:space="preserve">13 punkte nurodyta, kad „Šis pirkimas į dalis neskirstomas, todėl pasiūlymai turi būti teikiami visai nurodytai paslaugų apimčiai“.  </w:t>
            </w:r>
          </w:p>
          <w:p w14:paraId="3E4E9ABE" w14:textId="77777777" w:rsidR="002E32A4" w:rsidRDefault="00334E24" w:rsidP="00E5018E">
            <w:pPr>
              <w:spacing w:before="0" w:after="0"/>
              <w:rPr>
                <w:rFonts w:ascii="Times New Roman" w:hAnsi="Times New Roman"/>
                <w:bCs/>
                <w:sz w:val="24"/>
                <w:szCs w:val="24"/>
              </w:rPr>
            </w:pPr>
            <w:r w:rsidRPr="003B4E55">
              <w:rPr>
                <w:rFonts w:ascii="Times New Roman" w:hAnsi="Times New Roman"/>
                <w:sz w:val="24"/>
                <w:szCs w:val="24"/>
              </w:rPr>
              <w:t>Atsižvelgiant į numatytą unikalių mokymo dalyvių skaičių ir</w:t>
            </w:r>
            <w:r w:rsidR="007C0E34" w:rsidRPr="003B4E55">
              <w:rPr>
                <w:rFonts w:ascii="Times New Roman" w:hAnsi="Times New Roman"/>
                <w:sz w:val="24"/>
                <w:szCs w:val="24"/>
              </w:rPr>
              <w:t xml:space="preserve"> </w:t>
            </w:r>
            <w:r w:rsidR="002E32A4">
              <w:rPr>
                <w:rFonts w:ascii="Times New Roman" w:hAnsi="Times New Roman"/>
                <w:sz w:val="24"/>
                <w:szCs w:val="24"/>
              </w:rPr>
              <w:t xml:space="preserve">į </w:t>
            </w:r>
            <w:r w:rsidR="007C0E34" w:rsidRPr="003B4E55">
              <w:rPr>
                <w:rFonts w:ascii="Times New Roman" w:hAnsi="Times New Roman"/>
                <w:sz w:val="24"/>
                <w:szCs w:val="24"/>
              </w:rPr>
              <w:t xml:space="preserve">tai, kad </w:t>
            </w:r>
            <w:r w:rsidR="009D00F9" w:rsidRPr="003B4E55">
              <w:rPr>
                <w:rFonts w:ascii="Times New Roman" w:hAnsi="Times New Roman"/>
                <w:sz w:val="24"/>
                <w:szCs w:val="24"/>
              </w:rPr>
              <w:t>si</w:t>
            </w:r>
            <w:r w:rsidR="007C0E34" w:rsidRPr="003B4E55">
              <w:rPr>
                <w:rFonts w:ascii="Times New Roman" w:hAnsi="Times New Roman"/>
                <w:sz w:val="24"/>
                <w:szCs w:val="24"/>
              </w:rPr>
              <w:t>ekiamos įsigyti mokymo prog</w:t>
            </w:r>
            <w:r w:rsidRPr="003B4E55">
              <w:rPr>
                <w:rFonts w:ascii="Times New Roman" w:hAnsi="Times New Roman"/>
                <w:sz w:val="24"/>
                <w:szCs w:val="24"/>
              </w:rPr>
              <w:t xml:space="preserve">ramos nėra tarpusavyje susietos, </w:t>
            </w:r>
            <w:r w:rsidR="00F3755D" w:rsidRPr="003B4E55">
              <w:rPr>
                <w:rFonts w:ascii="Times New Roman" w:hAnsi="Times New Roman"/>
                <w:bCs/>
                <w:sz w:val="24"/>
                <w:szCs w:val="24"/>
              </w:rPr>
              <w:t>Tarnyba konstatuoja, kad Perkančioji organizacija neišskaidžiusi Pirkimo objekto į atskiras dalis</w:t>
            </w:r>
            <w:r w:rsidR="009D00F9" w:rsidRPr="003B4E55">
              <w:rPr>
                <w:rFonts w:ascii="Times New Roman" w:hAnsi="Times New Roman"/>
                <w:bCs/>
                <w:sz w:val="24"/>
                <w:szCs w:val="24"/>
              </w:rPr>
              <w:t>,</w:t>
            </w:r>
            <w:r w:rsidR="00F3755D" w:rsidRPr="003B4E55">
              <w:rPr>
                <w:rFonts w:ascii="Times New Roman" w:hAnsi="Times New Roman"/>
                <w:bCs/>
                <w:sz w:val="24"/>
                <w:szCs w:val="24"/>
              </w:rPr>
              <w:t xml:space="preserve"> pažeidė viešųjų pirkimų principus ir neužtikrino pirkimų tikslo siekimo.</w:t>
            </w:r>
            <w:r w:rsidR="002E32A4" w:rsidRPr="003B4E55">
              <w:rPr>
                <w:rFonts w:ascii="Times New Roman" w:hAnsi="Times New Roman"/>
                <w:bCs/>
                <w:sz w:val="24"/>
                <w:szCs w:val="24"/>
              </w:rPr>
              <w:t xml:space="preserve"> </w:t>
            </w:r>
          </w:p>
          <w:p w14:paraId="68933414" w14:textId="77777777" w:rsidR="00942D3B" w:rsidRPr="00D72053" w:rsidRDefault="002E32A4" w:rsidP="00E5018E">
            <w:pPr>
              <w:spacing w:before="0" w:after="0"/>
              <w:rPr>
                <w:rFonts w:ascii="Times New Roman" w:hAnsi="Times New Roman"/>
                <w:i/>
                <w:sz w:val="24"/>
                <w:szCs w:val="24"/>
              </w:rPr>
            </w:pPr>
            <w:r>
              <w:rPr>
                <w:rFonts w:ascii="Times New Roman" w:hAnsi="Times New Roman"/>
                <w:bCs/>
                <w:sz w:val="24"/>
                <w:szCs w:val="24"/>
              </w:rPr>
              <w:t xml:space="preserve">Tarnyba primena, kad </w:t>
            </w:r>
            <w:r w:rsidRPr="003B4E55">
              <w:rPr>
                <w:rFonts w:ascii="Times New Roman" w:hAnsi="Times New Roman"/>
                <w:bCs/>
                <w:sz w:val="24"/>
                <w:szCs w:val="24"/>
              </w:rPr>
              <w:t>Smulkiojo ir vidutinio verslo subjektų skatinimo dalyvauti viešuosiuose pirkimuose rekomendacijų, patvirtintų Tarnybos direktoriaus 2010 m. rugsėjo 30 d. įsakymu Nr. 1S-139 (aktuali redakcija nuo 2015 m. sausio 1 d.), 3.1 punkt</w:t>
            </w:r>
            <w:r>
              <w:rPr>
                <w:rFonts w:ascii="Times New Roman" w:hAnsi="Times New Roman"/>
                <w:bCs/>
                <w:sz w:val="24"/>
                <w:szCs w:val="24"/>
              </w:rPr>
              <w:t xml:space="preserve">e nurodyta, kad </w:t>
            </w:r>
            <w:r w:rsidRPr="003B4E55">
              <w:rPr>
                <w:rFonts w:ascii="Times New Roman" w:hAnsi="Times New Roman"/>
                <w:bCs/>
                <w:sz w:val="24"/>
                <w:szCs w:val="24"/>
              </w:rPr>
              <w:t>„perkančioji organizacija, siekdama paskatinti tiekėjus dalyvauti pirkimuose, turėtų skaidyti didelės apimties pirkimus į dalis“</w:t>
            </w:r>
            <w:r>
              <w:rPr>
                <w:rFonts w:ascii="Times New Roman" w:hAnsi="Times New Roman"/>
                <w:bCs/>
                <w:sz w:val="24"/>
                <w:szCs w:val="24"/>
              </w:rPr>
              <w:t>.</w:t>
            </w:r>
          </w:p>
        </w:tc>
      </w:tr>
      <w:tr w:rsidR="00B85D54" w:rsidRPr="00196CE1" w14:paraId="36AADF57" w14:textId="77777777" w:rsidTr="00650D9C">
        <w:trPr>
          <w:gridAfter w:val="1"/>
          <w:wAfter w:w="108" w:type="dxa"/>
        </w:trPr>
        <w:tc>
          <w:tcPr>
            <w:tcW w:w="535" w:type="dxa"/>
            <w:shd w:val="clear" w:color="auto" w:fill="auto"/>
          </w:tcPr>
          <w:p w14:paraId="5F931FE2" w14:textId="77777777" w:rsidR="00B85D54" w:rsidRPr="00D72053" w:rsidRDefault="00B85D54" w:rsidP="00A14221">
            <w:pPr>
              <w:numPr>
                <w:ilvl w:val="0"/>
                <w:numId w:val="41"/>
              </w:numPr>
              <w:rPr>
                <w:rFonts w:ascii="Times New Roman" w:hAnsi="Times New Roman"/>
                <w:sz w:val="24"/>
                <w:szCs w:val="24"/>
              </w:rPr>
            </w:pPr>
          </w:p>
        </w:tc>
        <w:tc>
          <w:tcPr>
            <w:tcW w:w="9071" w:type="dxa"/>
            <w:shd w:val="clear" w:color="auto" w:fill="auto"/>
          </w:tcPr>
          <w:p w14:paraId="2A3B0E93" w14:textId="77777777" w:rsidR="00B85D54" w:rsidRPr="00D72053" w:rsidRDefault="006832FB" w:rsidP="00064D4A">
            <w:pPr>
              <w:ind w:firstLine="113"/>
              <w:rPr>
                <w:rFonts w:ascii="Times New Roman" w:hAnsi="Times New Roman"/>
                <w:i/>
                <w:sz w:val="24"/>
                <w:szCs w:val="24"/>
              </w:rPr>
            </w:pPr>
            <w:r w:rsidRPr="003D7B9F">
              <w:rPr>
                <w:rFonts w:ascii="Times New Roman" w:hAnsi="Times New Roman"/>
                <w:i/>
                <w:sz w:val="24"/>
                <w:szCs w:val="24"/>
              </w:rPr>
              <w:t>Įstatymo 85 straipsnio 2 dalis</w:t>
            </w:r>
            <w:r w:rsidRPr="003D7B9F">
              <w:rPr>
                <w:rStyle w:val="FootnoteReference"/>
                <w:rFonts w:ascii="Times New Roman" w:hAnsi="Times New Roman"/>
                <w:i/>
                <w:sz w:val="24"/>
                <w:szCs w:val="24"/>
              </w:rPr>
              <w:footnoteReference w:id="12"/>
            </w:r>
            <w:r w:rsidRPr="003D7B9F">
              <w:rPr>
                <w:rFonts w:ascii="Times New Roman" w:hAnsi="Times New Roman"/>
                <w:i/>
                <w:sz w:val="24"/>
                <w:szCs w:val="24"/>
              </w:rPr>
              <w:t>, Taisyklių 19 punktas</w:t>
            </w:r>
            <w:r w:rsidRPr="003D7B9F">
              <w:rPr>
                <w:rStyle w:val="FootnoteReference"/>
                <w:rFonts w:ascii="Times New Roman" w:hAnsi="Times New Roman"/>
                <w:i/>
                <w:sz w:val="24"/>
                <w:szCs w:val="24"/>
              </w:rPr>
              <w:footnoteReference w:id="13"/>
            </w:r>
            <w:r w:rsidRPr="003D7B9F">
              <w:rPr>
                <w:rFonts w:ascii="Times New Roman" w:hAnsi="Times New Roman"/>
                <w:i/>
                <w:sz w:val="24"/>
                <w:szCs w:val="24"/>
              </w:rPr>
              <w:t>, Įstatymo 3</w:t>
            </w:r>
            <w:r w:rsidR="00DA6BA5" w:rsidRPr="003D7B9F">
              <w:rPr>
                <w:rFonts w:ascii="Times New Roman" w:hAnsi="Times New Roman"/>
                <w:i/>
                <w:sz w:val="24"/>
                <w:szCs w:val="24"/>
              </w:rPr>
              <w:t>2</w:t>
            </w:r>
            <w:r w:rsidRPr="003D7B9F">
              <w:rPr>
                <w:rFonts w:ascii="Times New Roman" w:hAnsi="Times New Roman"/>
                <w:i/>
                <w:sz w:val="24"/>
                <w:szCs w:val="24"/>
              </w:rPr>
              <w:t xml:space="preserve"> straipsnio </w:t>
            </w:r>
            <w:r w:rsidR="00034506">
              <w:rPr>
                <w:rFonts w:ascii="Times New Roman" w:hAnsi="Times New Roman"/>
                <w:i/>
                <w:sz w:val="24"/>
                <w:szCs w:val="24"/>
              </w:rPr>
              <w:t>2</w:t>
            </w:r>
            <w:r w:rsidRPr="003D7B9F">
              <w:rPr>
                <w:rFonts w:ascii="Times New Roman" w:hAnsi="Times New Roman"/>
                <w:i/>
                <w:sz w:val="24"/>
                <w:szCs w:val="24"/>
              </w:rPr>
              <w:t xml:space="preserve"> dalis</w:t>
            </w:r>
            <w:r w:rsidRPr="003D7B9F">
              <w:rPr>
                <w:rStyle w:val="FootnoteReference"/>
                <w:rFonts w:ascii="Times New Roman" w:hAnsi="Times New Roman"/>
                <w:i/>
                <w:sz w:val="24"/>
                <w:szCs w:val="24"/>
              </w:rPr>
              <w:footnoteReference w:id="14"/>
            </w:r>
          </w:p>
        </w:tc>
      </w:tr>
      <w:tr w:rsidR="000C4C79" w:rsidRPr="00196CE1" w14:paraId="1FB5BB9C" w14:textId="77777777" w:rsidTr="00F80F1E">
        <w:trPr>
          <w:gridAfter w:val="1"/>
          <w:wAfter w:w="108" w:type="dxa"/>
        </w:trPr>
        <w:tc>
          <w:tcPr>
            <w:tcW w:w="9606" w:type="dxa"/>
            <w:gridSpan w:val="2"/>
            <w:shd w:val="clear" w:color="auto" w:fill="auto"/>
          </w:tcPr>
          <w:p w14:paraId="5446E073" w14:textId="77777777" w:rsidR="000C4C79" w:rsidRDefault="002D1743" w:rsidP="00EF1FDE">
            <w:pPr>
              <w:spacing w:before="0" w:after="0"/>
              <w:rPr>
                <w:rFonts w:ascii="Times New Roman" w:hAnsi="Times New Roman"/>
                <w:sz w:val="24"/>
                <w:szCs w:val="24"/>
              </w:rPr>
            </w:pPr>
            <w:r>
              <w:rPr>
                <w:rFonts w:ascii="Times New Roman" w:hAnsi="Times New Roman"/>
                <w:sz w:val="24"/>
                <w:szCs w:val="24"/>
              </w:rPr>
              <w:lastRenderedPageBreak/>
              <w:t>Patikslintų</w:t>
            </w:r>
            <w:r w:rsidR="00DA6BA5">
              <w:rPr>
                <w:rFonts w:ascii="Times New Roman" w:hAnsi="Times New Roman"/>
                <w:sz w:val="24"/>
                <w:szCs w:val="24"/>
              </w:rPr>
              <w:t xml:space="preserve"> Pirkimo sąlygų </w:t>
            </w:r>
            <w:r w:rsidR="00A52E05">
              <w:rPr>
                <w:rFonts w:ascii="Times New Roman" w:hAnsi="Times New Roman"/>
                <w:sz w:val="24"/>
                <w:szCs w:val="24"/>
              </w:rPr>
              <w:t xml:space="preserve">(kaip nurodyta 2017-06-05 skelbimo dėl papildomos informacijos arba pataisos IV.2.3 punkte) </w:t>
            </w:r>
            <w:r>
              <w:rPr>
                <w:rFonts w:ascii="Times New Roman" w:hAnsi="Times New Roman"/>
                <w:sz w:val="24"/>
                <w:szCs w:val="24"/>
              </w:rPr>
              <w:t>priedo Nr. 1 „Minimalūs kvalifikaciniai reikalavimai“ 1.6 punkte</w:t>
            </w:r>
            <w:r w:rsidR="00B45B96">
              <w:rPr>
                <w:rFonts w:ascii="Times New Roman" w:hAnsi="Times New Roman"/>
                <w:sz w:val="24"/>
                <w:szCs w:val="24"/>
              </w:rPr>
              <w:t xml:space="preserve"> numatytas </w:t>
            </w:r>
            <w:r w:rsidR="007E5ABF">
              <w:rPr>
                <w:rFonts w:ascii="Times New Roman" w:hAnsi="Times New Roman"/>
                <w:sz w:val="24"/>
                <w:szCs w:val="24"/>
              </w:rPr>
              <w:t xml:space="preserve">minimalus kvalifikacijos </w:t>
            </w:r>
            <w:r w:rsidR="00B45B96">
              <w:rPr>
                <w:rFonts w:ascii="Times New Roman" w:hAnsi="Times New Roman"/>
                <w:sz w:val="24"/>
                <w:szCs w:val="24"/>
              </w:rPr>
              <w:t>reikalavimas: „</w:t>
            </w:r>
            <w:r w:rsidR="00B45B96" w:rsidRPr="00B45B96">
              <w:rPr>
                <w:rFonts w:ascii="Times New Roman" w:hAnsi="Times New Roman"/>
                <w:sz w:val="24"/>
                <w:szCs w:val="24"/>
              </w:rPr>
              <w:t>Per pastaruosius 3 (trejus) metus arba per laiką nuo teikėjo įregistravimo dienos (jeigu teikėjas vykdė veiklą mažiau nei 3 metus) vykdytų mokymo pagal neformalaus mokymo programas renginių bendra trukmė turi būti ne trumpesnė kaip 12 000 (dvylika tūkstančių) akademinių valandų ir jų metu apmokyta ne mažiau kaip 1500 (vienas tūkstantis penki šimtai) mokymo dalyvių</w:t>
            </w:r>
            <w:r w:rsidR="00B45B96">
              <w:rPr>
                <w:rFonts w:ascii="Times New Roman" w:hAnsi="Times New Roman"/>
                <w:sz w:val="24"/>
                <w:szCs w:val="24"/>
              </w:rPr>
              <w:t>“</w:t>
            </w:r>
            <w:r w:rsidR="00B45B96" w:rsidRPr="00B45B96">
              <w:rPr>
                <w:rFonts w:ascii="Times New Roman" w:hAnsi="Times New Roman"/>
                <w:sz w:val="24"/>
                <w:szCs w:val="24"/>
              </w:rPr>
              <w:t>.</w:t>
            </w:r>
            <w:r w:rsidR="00F0108F">
              <w:rPr>
                <w:rFonts w:ascii="Times New Roman" w:hAnsi="Times New Roman"/>
                <w:sz w:val="24"/>
                <w:szCs w:val="24"/>
              </w:rPr>
              <w:t xml:space="preserve"> Tarnyba konstatuoja, kad </w:t>
            </w:r>
            <w:r w:rsidR="000953E6">
              <w:rPr>
                <w:rFonts w:ascii="Times New Roman" w:hAnsi="Times New Roman"/>
                <w:sz w:val="24"/>
                <w:szCs w:val="24"/>
              </w:rPr>
              <w:t>reikalavimas dėl 12 000</w:t>
            </w:r>
            <w:r w:rsidR="000953E6" w:rsidRPr="00B45B96">
              <w:rPr>
                <w:rFonts w:ascii="Times New Roman" w:hAnsi="Times New Roman"/>
                <w:sz w:val="24"/>
                <w:szCs w:val="24"/>
              </w:rPr>
              <w:t xml:space="preserve"> akademinių valandų</w:t>
            </w:r>
            <w:r w:rsidR="000953E6">
              <w:rPr>
                <w:rFonts w:ascii="Times New Roman" w:hAnsi="Times New Roman"/>
                <w:sz w:val="24"/>
                <w:szCs w:val="24"/>
              </w:rPr>
              <w:t xml:space="preserve"> trukmės </w:t>
            </w:r>
            <w:r w:rsidR="007101DE">
              <w:rPr>
                <w:rFonts w:ascii="Times New Roman" w:hAnsi="Times New Roman"/>
                <w:sz w:val="24"/>
                <w:szCs w:val="24"/>
              </w:rPr>
              <w:t xml:space="preserve">mokymo </w:t>
            </w:r>
            <w:r w:rsidR="000953E6">
              <w:rPr>
                <w:rFonts w:ascii="Times New Roman" w:hAnsi="Times New Roman"/>
                <w:sz w:val="24"/>
                <w:szCs w:val="24"/>
              </w:rPr>
              <w:t xml:space="preserve">renginių nepagrįstai riboja konkurenciją ir yra neproporcingas Pirkimo objektui. </w:t>
            </w:r>
          </w:p>
          <w:p w14:paraId="3E1D7F6F" w14:textId="77777777" w:rsidR="00364107" w:rsidRDefault="007101DE" w:rsidP="00EF1FDE">
            <w:pPr>
              <w:spacing w:before="0" w:after="0"/>
              <w:rPr>
                <w:rFonts w:ascii="Times New Roman" w:hAnsi="Times New Roman"/>
                <w:sz w:val="24"/>
                <w:szCs w:val="24"/>
              </w:rPr>
            </w:pPr>
            <w:r>
              <w:rPr>
                <w:rFonts w:ascii="Times New Roman" w:hAnsi="Times New Roman"/>
                <w:sz w:val="24"/>
                <w:szCs w:val="24"/>
              </w:rPr>
              <w:t xml:space="preserve">Remiantis Pirkimo sąlygų priedo Nr. 2 „Techninė specifikacija &lt;...&gt;“  4.1 ir 6.1 punktais, numatyta bendra Pirkimo objekto </w:t>
            </w:r>
            <w:r w:rsidR="006167D0">
              <w:rPr>
                <w:rFonts w:ascii="Times New Roman" w:hAnsi="Times New Roman"/>
                <w:sz w:val="24"/>
                <w:szCs w:val="24"/>
              </w:rPr>
              <w:t>apimtis</w:t>
            </w:r>
            <w:r>
              <w:rPr>
                <w:rFonts w:ascii="Times New Roman" w:hAnsi="Times New Roman"/>
                <w:sz w:val="24"/>
                <w:szCs w:val="24"/>
              </w:rPr>
              <w:t xml:space="preserve"> – </w:t>
            </w:r>
            <w:r w:rsidR="000E6ACA">
              <w:rPr>
                <w:rFonts w:ascii="Times New Roman" w:hAnsi="Times New Roman"/>
                <w:sz w:val="24"/>
                <w:szCs w:val="24"/>
              </w:rPr>
              <w:t xml:space="preserve">mokymų renginiai, kurių trukmė – </w:t>
            </w:r>
            <w:r>
              <w:rPr>
                <w:rFonts w:ascii="Times New Roman" w:hAnsi="Times New Roman"/>
                <w:sz w:val="24"/>
                <w:szCs w:val="24"/>
              </w:rPr>
              <w:t>2400 akad</w:t>
            </w:r>
            <w:r w:rsidR="001315E2">
              <w:rPr>
                <w:rFonts w:ascii="Times New Roman" w:hAnsi="Times New Roman"/>
                <w:sz w:val="24"/>
                <w:szCs w:val="24"/>
              </w:rPr>
              <w:t>eminių</w:t>
            </w:r>
            <w:r>
              <w:rPr>
                <w:rFonts w:ascii="Times New Roman" w:hAnsi="Times New Roman"/>
                <w:sz w:val="24"/>
                <w:szCs w:val="24"/>
              </w:rPr>
              <w:t xml:space="preserve"> valandų</w:t>
            </w:r>
            <w:r w:rsidRPr="00D72053">
              <w:rPr>
                <w:rStyle w:val="FootnoteReference"/>
                <w:rFonts w:ascii="Times New Roman" w:hAnsi="Times New Roman"/>
                <w:i/>
                <w:sz w:val="24"/>
                <w:szCs w:val="24"/>
              </w:rPr>
              <w:footnoteReference w:id="15"/>
            </w:r>
            <w:r w:rsidR="006167D0">
              <w:rPr>
                <w:rFonts w:ascii="Times New Roman" w:hAnsi="Times New Roman"/>
                <w:sz w:val="24"/>
                <w:szCs w:val="24"/>
              </w:rPr>
              <w:t xml:space="preserve">, </w:t>
            </w:r>
            <w:r w:rsidR="000E6ACA">
              <w:rPr>
                <w:rFonts w:ascii="Times New Roman" w:hAnsi="Times New Roman"/>
                <w:sz w:val="24"/>
                <w:szCs w:val="24"/>
              </w:rPr>
              <w:t xml:space="preserve">todėl </w:t>
            </w:r>
            <w:r w:rsidR="001315E2">
              <w:rPr>
                <w:rFonts w:ascii="Times New Roman" w:hAnsi="Times New Roman"/>
                <w:sz w:val="24"/>
                <w:szCs w:val="24"/>
              </w:rPr>
              <w:t xml:space="preserve">vien </w:t>
            </w:r>
            <w:r w:rsidR="00C01DD2">
              <w:rPr>
                <w:rFonts w:ascii="Times New Roman" w:hAnsi="Times New Roman"/>
                <w:sz w:val="24"/>
                <w:szCs w:val="24"/>
              </w:rPr>
              <w:t xml:space="preserve">tai, kad </w:t>
            </w:r>
            <w:r w:rsidR="001315E2">
              <w:rPr>
                <w:rFonts w:ascii="Times New Roman" w:hAnsi="Times New Roman"/>
                <w:sz w:val="24"/>
                <w:szCs w:val="24"/>
              </w:rPr>
              <w:t>Perkančiosios organizacijos žiniomis</w:t>
            </w:r>
            <w:r w:rsidR="00C6741D">
              <w:rPr>
                <w:rFonts w:ascii="Times New Roman" w:hAnsi="Times New Roman"/>
                <w:sz w:val="24"/>
                <w:szCs w:val="24"/>
              </w:rPr>
              <w:t>,</w:t>
            </w:r>
            <w:r w:rsidR="001315E2">
              <w:rPr>
                <w:rFonts w:ascii="Times New Roman" w:hAnsi="Times New Roman"/>
                <w:sz w:val="24"/>
                <w:szCs w:val="24"/>
              </w:rPr>
              <w:t xml:space="preserve"> kai kurių</w:t>
            </w:r>
            <w:r w:rsidR="00C01DD2">
              <w:rPr>
                <w:rFonts w:ascii="Times New Roman" w:hAnsi="Times New Roman"/>
                <w:sz w:val="24"/>
                <w:szCs w:val="24"/>
              </w:rPr>
              <w:t xml:space="preserve"> valstybės tarnautojų </w:t>
            </w:r>
            <w:r w:rsidR="001315E2">
              <w:rPr>
                <w:rFonts w:ascii="Times New Roman" w:hAnsi="Times New Roman"/>
                <w:sz w:val="24"/>
                <w:szCs w:val="24"/>
              </w:rPr>
              <w:t xml:space="preserve">kvalifikacijos tobulinimo įstaigų </w:t>
            </w:r>
            <w:r w:rsidR="001315E2" w:rsidRPr="00B45B96">
              <w:rPr>
                <w:rFonts w:ascii="Times New Roman" w:hAnsi="Times New Roman"/>
                <w:sz w:val="24"/>
                <w:szCs w:val="24"/>
              </w:rPr>
              <w:t xml:space="preserve">vykdytų mokymo renginių bendra trukmė </w:t>
            </w:r>
            <w:r w:rsidR="001315E2">
              <w:rPr>
                <w:rFonts w:ascii="Times New Roman" w:hAnsi="Times New Roman"/>
                <w:sz w:val="24"/>
                <w:szCs w:val="24"/>
              </w:rPr>
              <w:t>siektų</w:t>
            </w:r>
            <w:r w:rsidR="001315E2" w:rsidRPr="00B45B96">
              <w:rPr>
                <w:rFonts w:ascii="Times New Roman" w:hAnsi="Times New Roman"/>
                <w:sz w:val="24"/>
                <w:szCs w:val="24"/>
              </w:rPr>
              <w:t xml:space="preserve"> 12 000 akademinių valandų</w:t>
            </w:r>
            <w:r w:rsidR="001315E2">
              <w:rPr>
                <w:rFonts w:ascii="Times New Roman" w:hAnsi="Times New Roman"/>
                <w:sz w:val="24"/>
                <w:szCs w:val="24"/>
              </w:rPr>
              <w:t xml:space="preserve"> (Valstybės tarnybos departamento 2017-06-26 rašte Nr. 27D-1012 pateiktas atsakymas į 1 klausimą), nesudaro pagrindo tokio kvalifikacinio reikalavimo taikymui. </w:t>
            </w:r>
            <w:r w:rsidR="006167D0">
              <w:rPr>
                <w:rFonts w:ascii="Times New Roman" w:hAnsi="Times New Roman"/>
                <w:sz w:val="24"/>
                <w:szCs w:val="24"/>
              </w:rPr>
              <w:t>Tarnyb</w:t>
            </w:r>
            <w:r w:rsidR="000E6ACA">
              <w:rPr>
                <w:rFonts w:ascii="Times New Roman" w:hAnsi="Times New Roman"/>
                <w:sz w:val="24"/>
                <w:szCs w:val="24"/>
              </w:rPr>
              <w:t>os nuomone,</w:t>
            </w:r>
            <w:r w:rsidR="006167D0">
              <w:rPr>
                <w:rFonts w:ascii="Times New Roman" w:hAnsi="Times New Roman"/>
                <w:sz w:val="24"/>
                <w:szCs w:val="24"/>
              </w:rPr>
              <w:t xml:space="preserve"> š</w:t>
            </w:r>
            <w:r w:rsidR="000E6ACA">
              <w:rPr>
                <w:rFonts w:ascii="Times New Roman" w:hAnsi="Times New Roman"/>
                <w:sz w:val="24"/>
                <w:szCs w:val="24"/>
              </w:rPr>
              <w:t>is</w:t>
            </w:r>
            <w:r w:rsidR="006167D0">
              <w:rPr>
                <w:rFonts w:ascii="Times New Roman" w:hAnsi="Times New Roman"/>
                <w:sz w:val="24"/>
                <w:szCs w:val="24"/>
              </w:rPr>
              <w:t xml:space="preserve"> kvalifikacin</w:t>
            </w:r>
            <w:r w:rsidR="000E6ACA">
              <w:rPr>
                <w:rFonts w:ascii="Times New Roman" w:hAnsi="Times New Roman"/>
                <w:sz w:val="24"/>
                <w:szCs w:val="24"/>
              </w:rPr>
              <w:t>is reikalavimas</w:t>
            </w:r>
            <w:r w:rsidR="006167D0">
              <w:rPr>
                <w:rFonts w:ascii="Times New Roman" w:hAnsi="Times New Roman"/>
                <w:sz w:val="24"/>
                <w:szCs w:val="24"/>
              </w:rPr>
              <w:t xml:space="preserve"> </w:t>
            </w:r>
            <w:r w:rsidR="009B7A40">
              <w:rPr>
                <w:rFonts w:ascii="Times New Roman" w:hAnsi="Times New Roman"/>
                <w:sz w:val="24"/>
                <w:szCs w:val="24"/>
              </w:rPr>
              <w:t>turėtų būti su</w:t>
            </w:r>
            <w:r w:rsidR="001315E2">
              <w:rPr>
                <w:rFonts w:ascii="Times New Roman" w:hAnsi="Times New Roman"/>
                <w:sz w:val="24"/>
                <w:szCs w:val="24"/>
              </w:rPr>
              <w:t>mažintas</w:t>
            </w:r>
            <w:r w:rsidR="009B7A40">
              <w:rPr>
                <w:rFonts w:ascii="Times New Roman" w:hAnsi="Times New Roman"/>
                <w:sz w:val="24"/>
                <w:szCs w:val="24"/>
              </w:rPr>
              <w:t xml:space="preserve"> proporcingai Pirkimo objektui (nustatant, kad reikalaujamas akad. valandų skaičius – 0,5-0,7 numatytos bendros mokymo renginių trukmės), taip suteikiant galimybę mažesnę patirtį turintiems ūkio subjektams augti konkurencinėje aplinkoje</w:t>
            </w:r>
            <w:r w:rsidR="00271BB5">
              <w:rPr>
                <w:rFonts w:ascii="Times New Roman" w:hAnsi="Times New Roman"/>
                <w:sz w:val="24"/>
                <w:szCs w:val="24"/>
              </w:rPr>
              <w:t>.</w:t>
            </w:r>
          </w:p>
          <w:p w14:paraId="0CAE8F22" w14:textId="77777777" w:rsidR="004E2C8C" w:rsidRDefault="00ED019F" w:rsidP="00A31865">
            <w:pPr>
              <w:spacing w:before="0" w:after="0"/>
              <w:rPr>
                <w:rFonts w:ascii="Times New Roman" w:hAnsi="Times New Roman"/>
                <w:sz w:val="24"/>
                <w:szCs w:val="24"/>
              </w:rPr>
            </w:pPr>
            <w:r>
              <w:rPr>
                <w:rFonts w:ascii="Times New Roman" w:hAnsi="Times New Roman"/>
                <w:sz w:val="24"/>
                <w:szCs w:val="24"/>
              </w:rPr>
              <w:t xml:space="preserve">Pažymėtina, kad </w:t>
            </w:r>
            <w:r w:rsidR="004E2C8C">
              <w:rPr>
                <w:rFonts w:ascii="Times New Roman" w:hAnsi="Times New Roman"/>
                <w:sz w:val="24"/>
                <w:szCs w:val="24"/>
              </w:rPr>
              <w:t xml:space="preserve">Perkančioji organizacija </w:t>
            </w:r>
            <w:r>
              <w:rPr>
                <w:rFonts w:ascii="Times New Roman" w:hAnsi="Times New Roman"/>
                <w:sz w:val="24"/>
                <w:szCs w:val="24"/>
              </w:rPr>
              <w:t xml:space="preserve">CVP IS priemonėmis teikdama paaiškinimus tiekėjams dėl 1.6 punkte numatyto minimalaus kvalifikacijos reikalavimo, nurodė skirtingus </w:t>
            </w:r>
            <w:r w:rsidRPr="00B45B96">
              <w:rPr>
                <w:rFonts w:ascii="Times New Roman" w:hAnsi="Times New Roman"/>
                <w:sz w:val="24"/>
                <w:szCs w:val="24"/>
              </w:rPr>
              <w:t>vykdytų mokymo renginių</w:t>
            </w:r>
            <w:r>
              <w:rPr>
                <w:rFonts w:ascii="Times New Roman" w:hAnsi="Times New Roman"/>
                <w:sz w:val="24"/>
                <w:szCs w:val="24"/>
              </w:rPr>
              <w:t xml:space="preserve"> </w:t>
            </w:r>
            <w:r w:rsidRPr="00271BB5">
              <w:rPr>
                <w:rFonts w:ascii="Times New Roman" w:hAnsi="Times New Roman"/>
                <w:b/>
                <w:sz w:val="24"/>
                <w:szCs w:val="24"/>
              </w:rPr>
              <w:t>trukmės</w:t>
            </w:r>
            <w:r>
              <w:rPr>
                <w:rFonts w:ascii="Times New Roman" w:hAnsi="Times New Roman"/>
                <w:sz w:val="24"/>
                <w:szCs w:val="24"/>
              </w:rPr>
              <w:t xml:space="preserve"> skaičiavimo būdus. Pvz.</w:t>
            </w:r>
            <w:r w:rsidR="009B7A40">
              <w:rPr>
                <w:rFonts w:ascii="Times New Roman" w:hAnsi="Times New Roman"/>
                <w:sz w:val="24"/>
                <w:szCs w:val="24"/>
              </w:rPr>
              <w:t>:</w:t>
            </w:r>
            <w:r>
              <w:rPr>
                <w:rFonts w:ascii="Times New Roman" w:hAnsi="Times New Roman"/>
                <w:sz w:val="24"/>
                <w:szCs w:val="24"/>
              </w:rPr>
              <w:t xml:space="preserve"> </w:t>
            </w:r>
            <w:r w:rsidR="004E2C8C">
              <w:rPr>
                <w:rFonts w:ascii="Times New Roman" w:hAnsi="Times New Roman"/>
                <w:sz w:val="24"/>
                <w:szCs w:val="24"/>
              </w:rPr>
              <w:t xml:space="preserve">2017-05-26 </w:t>
            </w:r>
            <w:r>
              <w:rPr>
                <w:rFonts w:ascii="Times New Roman" w:hAnsi="Times New Roman"/>
                <w:sz w:val="24"/>
                <w:szCs w:val="24"/>
              </w:rPr>
              <w:t>atsakyme į 2 klausimą</w:t>
            </w:r>
            <w:r w:rsidR="00E7180A">
              <w:rPr>
                <w:rFonts w:ascii="Times New Roman" w:hAnsi="Times New Roman"/>
                <w:sz w:val="24"/>
                <w:szCs w:val="24"/>
              </w:rPr>
              <w:t xml:space="preserve"> (CVP IS pranešimas Nr. 5249416)</w:t>
            </w:r>
            <w:r>
              <w:rPr>
                <w:rFonts w:ascii="Times New Roman" w:hAnsi="Times New Roman"/>
                <w:sz w:val="24"/>
                <w:szCs w:val="24"/>
              </w:rPr>
              <w:t>, nurodė, kad „</w:t>
            </w:r>
            <w:r w:rsidR="00234A95">
              <w:rPr>
                <w:rFonts w:ascii="Times New Roman" w:hAnsi="Times New Roman"/>
                <w:sz w:val="24"/>
                <w:szCs w:val="24"/>
              </w:rPr>
              <w:t xml:space="preserve">&lt;...&gt; </w:t>
            </w:r>
            <w:r>
              <w:rPr>
                <w:rFonts w:ascii="Times New Roman" w:hAnsi="Times New Roman"/>
                <w:sz w:val="24"/>
                <w:szCs w:val="24"/>
              </w:rPr>
              <w:t>vienas kalbos dėstytojas individualiai mokydamas 10 žmonių kalbos kurso po 120 akad. val. per metus praveda 1200 val. mokymo renginių; per 3</w:t>
            </w:r>
            <w:r w:rsidR="00234A95">
              <w:rPr>
                <w:rFonts w:ascii="Times New Roman" w:hAnsi="Times New Roman"/>
                <w:sz w:val="24"/>
                <w:szCs w:val="24"/>
              </w:rPr>
              <w:t xml:space="preserve"> metus – 3600. Taigi 4 dėstytojai per 3 metus lengvai pasiektų ir net viršytų nustatytą rodiklį“. Tuo tarpu</w:t>
            </w:r>
            <w:r w:rsidR="004E2C8C">
              <w:rPr>
                <w:rFonts w:ascii="Times New Roman" w:hAnsi="Times New Roman"/>
                <w:sz w:val="24"/>
                <w:szCs w:val="24"/>
              </w:rPr>
              <w:t xml:space="preserve"> 2017-06-08 </w:t>
            </w:r>
            <w:r w:rsidR="00234A95">
              <w:rPr>
                <w:rFonts w:ascii="Times New Roman" w:hAnsi="Times New Roman"/>
                <w:sz w:val="24"/>
                <w:szCs w:val="24"/>
              </w:rPr>
              <w:t>atsakyme į 13 klausimą</w:t>
            </w:r>
            <w:r w:rsidR="00A5229C">
              <w:rPr>
                <w:rFonts w:ascii="Times New Roman" w:hAnsi="Times New Roman"/>
                <w:sz w:val="24"/>
                <w:szCs w:val="24"/>
              </w:rPr>
              <w:t xml:space="preserve"> </w:t>
            </w:r>
            <w:r w:rsidR="00E7180A">
              <w:rPr>
                <w:rFonts w:ascii="Times New Roman" w:hAnsi="Times New Roman"/>
                <w:sz w:val="24"/>
                <w:szCs w:val="24"/>
              </w:rPr>
              <w:t xml:space="preserve">(CVP IS pranešimas Nr. 5290844) </w:t>
            </w:r>
            <w:r w:rsidR="00234A95">
              <w:rPr>
                <w:rFonts w:ascii="Times New Roman" w:hAnsi="Times New Roman"/>
                <w:sz w:val="24"/>
                <w:szCs w:val="24"/>
              </w:rPr>
              <w:t>nurodyta, kad „&lt;...&gt; jei apmokyta 5 asmenų grupė, kuriai suteikta 40 akad. val. neformalaus mokymo paslaugų, vadinasi 5 mokymo dalyviai dalyvavo 1 mokymo renginyje, kurio trukmė 40 akad. val. Bendra suteikta paslaugų trukmė yra 40 akad. val.“</w:t>
            </w:r>
            <w:r w:rsidR="00A31865">
              <w:rPr>
                <w:rFonts w:ascii="Times New Roman" w:hAnsi="Times New Roman"/>
                <w:sz w:val="24"/>
                <w:szCs w:val="24"/>
              </w:rPr>
              <w:t>.</w:t>
            </w:r>
            <w:r w:rsidR="004E2C8C">
              <w:rPr>
                <w:rFonts w:ascii="Times New Roman" w:hAnsi="Times New Roman"/>
                <w:sz w:val="24"/>
                <w:szCs w:val="24"/>
              </w:rPr>
              <w:t xml:space="preserve"> 2017-06-21 atsakyme </w:t>
            </w:r>
            <w:r w:rsidR="00A31865">
              <w:rPr>
                <w:rFonts w:ascii="Times New Roman" w:hAnsi="Times New Roman"/>
                <w:sz w:val="24"/>
                <w:szCs w:val="24"/>
              </w:rPr>
              <w:t>į 1 klausimą</w:t>
            </w:r>
            <w:r w:rsidR="00E7180A">
              <w:rPr>
                <w:rFonts w:ascii="Times New Roman" w:hAnsi="Times New Roman"/>
                <w:sz w:val="24"/>
                <w:szCs w:val="24"/>
              </w:rPr>
              <w:t xml:space="preserve"> (CVP IS pranešimas Nr. 5333687)</w:t>
            </w:r>
            <w:r w:rsidR="004E2C8C">
              <w:rPr>
                <w:rFonts w:ascii="Times New Roman" w:hAnsi="Times New Roman"/>
                <w:sz w:val="24"/>
                <w:szCs w:val="24"/>
              </w:rPr>
              <w:t xml:space="preserve">, </w:t>
            </w:r>
            <w:r w:rsidR="00A5229C">
              <w:rPr>
                <w:rFonts w:ascii="Times New Roman" w:hAnsi="Times New Roman"/>
                <w:sz w:val="24"/>
                <w:szCs w:val="24"/>
              </w:rPr>
              <w:t xml:space="preserve">Perkančioji organizacija </w:t>
            </w:r>
            <w:r w:rsidR="00424895">
              <w:rPr>
                <w:rFonts w:ascii="Times New Roman" w:hAnsi="Times New Roman"/>
                <w:sz w:val="24"/>
                <w:szCs w:val="24"/>
              </w:rPr>
              <w:t xml:space="preserve">pateikė tą patį </w:t>
            </w:r>
            <w:r w:rsidR="00A5229C">
              <w:rPr>
                <w:rFonts w:ascii="Times New Roman" w:hAnsi="Times New Roman"/>
                <w:sz w:val="24"/>
                <w:szCs w:val="24"/>
              </w:rPr>
              <w:t xml:space="preserve">vykdytų mokymo </w:t>
            </w:r>
            <w:r w:rsidR="00424895">
              <w:rPr>
                <w:rFonts w:ascii="Times New Roman" w:hAnsi="Times New Roman"/>
                <w:sz w:val="24"/>
                <w:szCs w:val="24"/>
              </w:rPr>
              <w:t xml:space="preserve">renginių trukmės skaičiavimo pavyzdį, kurį buvo nurodžiusi 2017-05-26 </w:t>
            </w:r>
            <w:r w:rsidR="00424895" w:rsidRPr="009B7A40">
              <w:rPr>
                <w:rFonts w:ascii="Times New Roman" w:hAnsi="Times New Roman"/>
                <w:sz w:val="24"/>
                <w:szCs w:val="24"/>
              </w:rPr>
              <w:t>atsakyme.</w:t>
            </w:r>
            <w:r w:rsidR="004E2C8C" w:rsidRPr="009B7A40">
              <w:rPr>
                <w:rFonts w:ascii="Times New Roman" w:hAnsi="Times New Roman"/>
                <w:sz w:val="24"/>
                <w:szCs w:val="24"/>
              </w:rPr>
              <w:t xml:space="preserve"> </w:t>
            </w:r>
            <w:r w:rsidR="00E7180A" w:rsidRPr="009B7A40">
              <w:rPr>
                <w:rFonts w:ascii="Times New Roman" w:hAnsi="Times New Roman"/>
                <w:sz w:val="24"/>
                <w:szCs w:val="24"/>
              </w:rPr>
              <w:t>Tarnyba atkreipia dėmesį į tai, kad</w:t>
            </w:r>
            <w:r w:rsidR="00A5229C" w:rsidRPr="009B7A40">
              <w:rPr>
                <w:rFonts w:ascii="Times New Roman" w:hAnsi="Times New Roman"/>
                <w:sz w:val="24"/>
                <w:szCs w:val="24"/>
              </w:rPr>
              <w:t xml:space="preserve"> mokymo renginių trukmę vertinant kaip nurodyta pateiktame pavyzdyje, būtų įvertinama atskirų dėstytojų (lektorių) dėstymo patirtis, </w:t>
            </w:r>
            <w:r w:rsidR="00C05484" w:rsidRPr="009B7A40">
              <w:rPr>
                <w:rFonts w:ascii="Times New Roman" w:hAnsi="Times New Roman"/>
                <w:sz w:val="24"/>
                <w:szCs w:val="24"/>
              </w:rPr>
              <w:t>bet neužtikrinamas pirkimų tikslo siekimas</w:t>
            </w:r>
            <w:r w:rsidR="00892C53" w:rsidRPr="009B7A40">
              <w:rPr>
                <w:rFonts w:ascii="Times New Roman" w:hAnsi="Times New Roman"/>
                <w:sz w:val="24"/>
                <w:szCs w:val="24"/>
              </w:rPr>
              <w:t>, kadangi dėstytojai, kurių patirtimi būtų remiamasi siekiant atitikti 1.6 punkte numatytą minimalųjį kvalifikacinį reikalavimą, nebūtinai būtų tie patys, kurie dėstytų pagal Pirkimui parengti ir patvirtinti planuojamas mokymo programas.</w:t>
            </w:r>
          </w:p>
        </w:tc>
      </w:tr>
      <w:tr w:rsidR="00650D9C" w:rsidRPr="007E6F2F" w14:paraId="1CBA1D06" w14:textId="77777777" w:rsidTr="00650D9C">
        <w:trPr>
          <w:gridAfter w:val="1"/>
          <w:wAfter w:w="108" w:type="dxa"/>
        </w:trPr>
        <w:tc>
          <w:tcPr>
            <w:tcW w:w="535" w:type="dxa"/>
            <w:shd w:val="clear" w:color="auto" w:fill="auto"/>
          </w:tcPr>
          <w:p w14:paraId="19EB0240" w14:textId="77777777" w:rsidR="00650D9C" w:rsidRPr="00D72053" w:rsidRDefault="00650D9C" w:rsidP="00650D9C">
            <w:pPr>
              <w:numPr>
                <w:ilvl w:val="0"/>
                <w:numId w:val="41"/>
              </w:numPr>
              <w:rPr>
                <w:rFonts w:ascii="Times New Roman" w:hAnsi="Times New Roman"/>
                <w:sz w:val="24"/>
                <w:szCs w:val="24"/>
              </w:rPr>
            </w:pPr>
          </w:p>
        </w:tc>
        <w:tc>
          <w:tcPr>
            <w:tcW w:w="9071" w:type="dxa"/>
            <w:shd w:val="clear" w:color="auto" w:fill="auto"/>
          </w:tcPr>
          <w:p w14:paraId="67C21C07" w14:textId="77777777" w:rsidR="00650D9C" w:rsidRPr="007E6F2F" w:rsidRDefault="00650D9C" w:rsidP="002F7C62">
            <w:pPr>
              <w:ind w:firstLine="113"/>
              <w:rPr>
                <w:rFonts w:ascii="Times New Roman" w:hAnsi="Times New Roman"/>
                <w:i/>
                <w:sz w:val="24"/>
                <w:szCs w:val="24"/>
              </w:rPr>
            </w:pPr>
            <w:r w:rsidRPr="007E6F2F">
              <w:rPr>
                <w:rFonts w:ascii="Times New Roman" w:hAnsi="Times New Roman"/>
                <w:i/>
                <w:sz w:val="24"/>
                <w:szCs w:val="24"/>
              </w:rPr>
              <w:t>Įstatymo 85 straipsnio 2 dalis</w:t>
            </w:r>
            <w:r w:rsidRPr="007E6F2F">
              <w:rPr>
                <w:rStyle w:val="FootnoteReference"/>
                <w:rFonts w:ascii="Times New Roman" w:hAnsi="Times New Roman"/>
                <w:i/>
                <w:sz w:val="24"/>
                <w:szCs w:val="24"/>
              </w:rPr>
              <w:footnoteReference w:id="16"/>
            </w:r>
            <w:r w:rsidRPr="007E6F2F">
              <w:rPr>
                <w:rFonts w:ascii="Times New Roman" w:hAnsi="Times New Roman"/>
                <w:i/>
                <w:sz w:val="24"/>
                <w:szCs w:val="24"/>
              </w:rPr>
              <w:t>, Taisyklių 19 punktas</w:t>
            </w:r>
            <w:r w:rsidRPr="007E6F2F">
              <w:rPr>
                <w:rStyle w:val="FootnoteReference"/>
                <w:rFonts w:ascii="Times New Roman" w:hAnsi="Times New Roman"/>
                <w:i/>
                <w:sz w:val="24"/>
                <w:szCs w:val="24"/>
              </w:rPr>
              <w:footnoteReference w:id="17"/>
            </w:r>
            <w:r w:rsidRPr="007E6F2F">
              <w:rPr>
                <w:rFonts w:ascii="Times New Roman" w:hAnsi="Times New Roman"/>
                <w:i/>
                <w:sz w:val="24"/>
                <w:szCs w:val="24"/>
              </w:rPr>
              <w:t>, Įstatymo 32 straipsnio 1 dalis</w:t>
            </w:r>
            <w:r w:rsidRPr="007E6F2F">
              <w:rPr>
                <w:rStyle w:val="FootnoteReference"/>
                <w:rFonts w:ascii="Times New Roman" w:hAnsi="Times New Roman"/>
                <w:i/>
                <w:sz w:val="24"/>
                <w:szCs w:val="24"/>
              </w:rPr>
              <w:footnoteReference w:id="18"/>
            </w:r>
            <w:r w:rsidRPr="007E6F2F">
              <w:rPr>
                <w:rFonts w:ascii="Times New Roman" w:hAnsi="Times New Roman"/>
                <w:i/>
                <w:sz w:val="24"/>
                <w:szCs w:val="24"/>
              </w:rPr>
              <w:t>, 2 dalis</w:t>
            </w:r>
            <w:r w:rsidRPr="007E6F2F">
              <w:rPr>
                <w:rStyle w:val="FootnoteReference"/>
                <w:rFonts w:ascii="Times New Roman" w:hAnsi="Times New Roman"/>
                <w:i/>
                <w:sz w:val="24"/>
                <w:szCs w:val="24"/>
              </w:rPr>
              <w:footnoteReference w:id="19"/>
            </w:r>
            <w:r w:rsidRPr="007E6F2F">
              <w:rPr>
                <w:rFonts w:ascii="Times New Roman" w:hAnsi="Times New Roman"/>
                <w:i/>
                <w:sz w:val="24"/>
                <w:szCs w:val="24"/>
              </w:rPr>
              <w:t>, 34 straipsnio 1 dalis</w:t>
            </w:r>
            <w:r w:rsidRPr="007E6F2F">
              <w:rPr>
                <w:rStyle w:val="FootnoteReference"/>
                <w:rFonts w:ascii="Times New Roman" w:hAnsi="Times New Roman"/>
                <w:i/>
                <w:sz w:val="24"/>
                <w:szCs w:val="24"/>
              </w:rPr>
              <w:footnoteReference w:id="20"/>
            </w:r>
          </w:p>
        </w:tc>
      </w:tr>
      <w:tr w:rsidR="00650D9C" w:rsidRPr="00196CE1" w14:paraId="5746A44E" w14:textId="77777777" w:rsidTr="00F80F1E">
        <w:trPr>
          <w:gridAfter w:val="1"/>
          <w:wAfter w:w="108" w:type="dxa"/>
        </w:trPr>
        <w:tc>
          <w:tcPr>
            <w:tcW w:w="9606" w:type="dxa"/>
            <w:gridSpan w:val="2"/>
            <w:shd w:val="clear" w:color="auto" w:fill="auto"/>
          </w:tcPr>
          <w:p w14:paraId="2AF838E9" w14:textId="77777777" w:rsidR="00650D9C" w:rsidRPr="007E6F2F" w:rsidRDefault="00650D9C" w:rsidP="00650D9C">
            <w:pPr>
              <w:spacing w:before="0" w:after="0"/>
              <w:rPr>
                <w:rFonts w:ascii="Times New Roman" w:hAnsi="Times New Roman"/>
                <w:sz w:val="24"/>
                <w:szCs w:val="24"/>
              </w:rPr>
            </w:pPr>
            <w:r w:rsidRPr="007E6F2F">
              <w:rPr>
                <w:rFonts w:ascii="Times New Roman" w:hAnsi="Times New Roman"/>
                <w:sz w:val="24"/>
                <w:szCs w:val="24"/>
              </w:rPr>
              <w:lastRenderedPageBreak/>
              <w:t>Pirkimo sąlygų 2 priedo „Techninė specifikacija &lt;...&gt;“  7.1 punkte nurodyta, kad „Paslaugų teikėjas turi būti įrašytas į Valstybės tarnautojų kvalifikacijos tobulinimo įstaigų sąrašą ar į Fizinių asmenų, teikiančių mokymo paslaugas valstybės tarnautojams, sąrašą, vadovaujantis Asmenų, teikiančių mokymo paslaugas valstybės tarnautojams, tvirtinimo tvarkos aprašo, patvirtinto Lietuvos Respublikos vidaus reikalų ministro 2009 m. gruodžio 31 d. įsakymu Nr. 1V-735, nustatyta tvarka“, tačiau Perkančioji organizacija nenumatė reikalavimo pateikti tai patvirtinančius dokumentus.</w:t>
            </w:r>
          </w:p>
          <w:p w14:paraId="0FAC124C" w14:textId="77777777" w:rsidR="00650D9C" w:rsidRDefault="00650D9C" w:rsidP="00650D9C">
            <w:pPr>
              <w:spacing w:before="0" w:after="0"/>
              <w:rPr>
                <w:rFonts w:ascii="Times New Roman" w:hAnsi="Times New Roman"/>
                <w:sz w:val="24"/>
                <w:szCs w:val="24"/>
              </w:rPr>
            </w:pPr>
            <w:r w:rsidRPr="007E6F2F">
              <w:rPr>
                <w:rFonts w:ascii="Times New Roman" w:hAnsi="Times New Roman"/>
                <w:sz w:val="24"/>
                <w:szCs w:val="24"/>
              </w:rPr>
              <w:t xml:space="preserve">Tarnyba pažymi, kad 7.1 punkte nurodytas reikalavimas savo esme atitinka Įstatymo 34 straipsnio 1 dalyje įtvirtintą kvalifikacinį reikalavimą dėl teisės verstis veikla, </w:t>
            </w:r>
            <w:r w:rsidR="003319E6" w:rsidRPr="007E6F2F">
              <w:rPr>
                <w:rFonts w:ascii="Times New Roman" w:hAnsi="Times New Roman"/>
                <w:sz w:val="24"/>
                <w:szCs w:val="24"/>
              </w:rPr>
              <w:t xml:space="preserve">kuri </w:t>
            </w:r>
            <w:r w:rsidRPr="007E6F2F">
              <w:rPr>
                <w:rFonts w:ascii="Times New Roman" w:hAnsi="Times New Roman"/>
                <w:sz w:val="24"/>
                <w:szCs w:val="24"/>
              </w:rPr>
              <w:t xml:space="preserve">reikalinga sutarčiai įvykdyti ir turėtų būti įtvirtintas Pirkimo sąlygų priede Nr. 1 „Minimalūs kvalifikaciniai reikalavimai“, nurodant </w:t>
            </w:r>
            <w:r w:rsidR="00466569" w:rsidRPr="007E6F2F">
              <w:rPr>
                <w:rFonts w:ascii="Times New Roman" w:hAnsi="Times New Roman"/>
                <w:sz w:val="24"/>
                <w:szCs w:val="24"/>
              </w:rPr>
              <w:t xml:space="preserve">kokius </w:t>
            </w:r>
            <w:r w:rsidRPr="007E6F2F">
              <w:rPr>
                <w:rFonts w:ascii="Times New Roman" w:hAnsi="Times New Roman"/>
                <w:sz w:val="24"/>
                <w:szCs w:val="24"/>
              </w:rPr>
              <w:t>atitikimą kvalifikaciniam reikalavimui patvirtinančius dokumentus</w:t>
            </w:r>
            <w:r w:rsidR="00466569" w:rsidRPr="007E6F2F">
              <w:rPr>
                <w:rFonts w:ascii="Times New Roman" w:hAnsi="Times New Roman"/>
                <w:sz w:val="24"/>
                <w:szCs w:val="24"/>
              </w:rPr>
              <w:t xml:space="preserve"> Perkančioji organizacija prašys pateikti</w:t>
            </w:r>
            <w:r w:rsidRPr="007E6F2F">
              <w:rPr>
                <w:rFonts w:ascii="Times New Roman" w:hAnsi="Times New Roman"/>
                <w:sz w:val="24"/>
                <w:szCs w:val="24"/>
              </w:rPr>
              <w:t>.</w:t>
            </w:r>
          </w:p>
        </w:tc>
      </w:tr>
      <w:tr w:rsidR="00EA19D2" w:rsidRPr="00AA614A" w14:paraId="135B09C0" w14:textId="77777777" w:rsidTr="00D27451">
        <w:trPr>
          <w:gridAfter w:val="1"/>
          <w:wAfter w:w="108" w:type="dxa"/>
        </w:trPr>
        <w:tc>
          <w:tcPr>
            <w:tcW w:w="535" w:type="dxa"/>
            <w:shd w:val="clear" w:color="auto" w:fill="auto"/>
          </w:tcPr>
          <w:p w14:paraId="4C1A351A" w14:textId="77777777" w:rsidR="00EA19D2" w:rsidRPr="00D72053" w:rsidRDefault="00EA19D2" w:rsidP="002F7C62">
            <w:pPr>
              <w:numPr>
                <w:ilvl w:val="0"/>
                <w:numId w:val="41"/>
              </w:numPr>
              <w:jc w:val="left"/>
              <w:rPr>
                <w:rFonts w:ascii="Times New Roman" w:hAnsi="Times New Roman"/>
                <w:sz w:val="24"/>
                <w:szCs w:val="24"/>
              </w:rPr>
            </w:pPr>
          </w:p>
        </w:tc>
        <w:tc>
          <w:tcPr>
            <w:tcW w:w="9071" w:type="dxa"/>
            <w:shd w:val="clear" w:color="auto" w:fill="auto"/>
          </w:tcPr>
          <w:p w14:paraId="24740E73" w14:textId="77777777" w:rsidR="00EA19D2" w:rsidRPr="00AA614A" w:rsidRDefault="00EA19D2" w:rsidP="002F7C62">
            <w:pPr>
              <w:ind w:firstLine="113"/>
              <w:rPr>
                <w:rFonts w:ascii="Times New Roman" w:hAnsi="Times New Roman"/>
                <w:sz w:val="24"/>
                <w:szCs w:val="24"/>
              </w:rPr>
            </w:pPr>
            <w:r>
              <w:rPr>
                <w:rFonts w:ascii="Times New Roman" w:hAnsi="Times New Roman"/>
                <w:i/>
                <w:sz w:val="24"/>
                <w:szCs w:val="24"/>
              </w:rPr>
              <w:t>Taisyklių 75 punktas</w:t>
            </w:r>
            <w:r w:rsidRPr="00AA614A">
              <w:rPr>
                <w:rFonts w:ascii="Times New Roman" w:hAnsi="Times New Roman"/>
                <w:i/>
                <w:sz w:val="24"/>
                <w:szCs w:val="24"/>
                <w:vertAlign w:val="superscript"/>
              </w:rPr>
              <w:footnoteReference w:id="21"/>
            </w:r>
            <w:r>
              <w:rPr>
                <w:rFonts w:ascii="Times New Roman" w:hAnsi="Times New Roman"/>
                <w:i/>
                <w:sz w:val="24"/>
                <w:szCs w:val="24"/>
              </w:rPr>
              <w:t xml:space="preserve">, </w:t>
            </w:r>
            <w:r w:rsidRPr="00AA614A">
              <w:rPr>
                <w:rFonts w:ascii="Times New Roman" w:hAnsi="Times New Roman"/>
                <w:i/>
                <w:sz w:val="24"/>
                <w:szCs w:val="24"/>
              </w:rPr>
              <w:t xml:space="preserve">Įstatymo </w:t>
            </w:r>
            <w:r>
              <w:rPr>
                <w:rFonts w:ascii="Times New Roman" w:hAnsi="Times New Roman"/>
                <w:i/>
                <w:sz w:val="24"/>
                <w:szCs w:val="24"/>
              </w:rPr>
              <w:t>18</w:t>
            </w:r>
            <w:r w:rsidRPr="00AA614A">
              <w:rPr>
                <w:rFonts w:ascii="Times New Roman" w:hAnsi="Times New Roman"/>
                <w:i/>
                <w:sz w:val="24"/>
                <w:szCs w:val="24"/>
              </w:rPr>
              <w:t xml:space="preserve"> straipsnio </w:t>
            </w:r>
            <w:r>
              <w:rPr>
                <w:rFonts w:ascii="Times New Roman" w:hAnsi="Times New Roman"/>
                <w:i/>
                <w:sz w:val="24"/>
                <w:szCs w:val="24"/>
              </w:rPr>
              <w:t>6</w:t>
            </w:r>
            <w:r w:rsidRPr="00AA614A">
              <w:rPr>
                <w:rFonts w:ascii="Times New Roman" w:hAnsi="Times New Roman"/>
                <w:i/>
                <w:sz w:val="24"/>
                <w:szCs w:val="24"/>
              </w:rPr>
              <w:t xml:space="preserve"> dali</w:t>
            </w:r>
            <w:r>
              <w:rPr>
                <w:rFonts w:ascii="Times New Roman" w:hAnsi="Times New Roman"/>
                <w:i/>
                <w:sz w:val="24"/>
                <w:szCs w:val="24"/>
              </w:rPr>
              <w:t>e</w:t>
            </w:r>
            <w:r w:rsidRPr="00AA614A">
              <w:rPr>
                <w:rFonts w:ascii="Times New Roman" w:hAnsi="Times New Roman"/>
                <w:i/>
                <w:sz w:val="24"/>
                <w:szCs w:val="24"/>
              </w:rPr>
              <w:t>s</w:t>
            </w:r>
            <w:r>
              <w:rPr>
                <w:rFonts w:ascii="Times New Roman" w:hAnsi="Times New Roman"/>
                <w:i/>
                <w:sz w:val="24"/>
                <w:szCs w:val="24"/>
              </w:rPr>
              <w:t xml:space="preserve"> 3 punktas</w:t>
            </w:r>
            <w:r w:rsidRPr="00AA614A">
              <w:rPr>
                <w:rFonts w:ascii="Times New Roman" w:hAnsi="Times New Roman"/>
                <w:i/>
                <w:sz w:val="24"/>
                <w:szCs w:val="24"/>
                <w:vertAlign w:val="superscript"/>
              </w:rPr>
              <w:footnoteReference w:id="22"/>
            </w:r>
            <w:r w:rsidR="00D27451">
              <w:rPr>
                <w:rFonts w:ascii="Times New Roman" w:hAnsi="Times New Roman"/>
                <w:i/>
                <w:sz w:val="24"/>
                <w:szCs w:val="24"/>
              </w:rPr>
              <w:t xml:space="preserve">, </w:t>
            </w:r>
            <w:r w:rsidR="00D27451" w:rsidRPr="00D27451">
              <w:rPr>
                <w:rFonts w:ascii="Times New Roman" w:hAnsi="Times New Roman"/>
                <w:i/>
                <w:sz w:val="24"/>
                <w:szCs w:val="24"/>
              </w:rPr>
              <w:t xml:space="preserve">3 straipsnio </w:t>
            </w:r>
            <w:r w:rsidR="007E6F2F">
              <w:rPr>
                <w:rFonts w:ascii="Times New Roman" w:hAnsi="Times New Roman"/>
                <w:i/>
                <w:sz w:val="24"/>
                <w:szCs w:val="24"/>
              </w:rPr>
              <w:t>1</w:t>
            </w:r>
            <w:r w:rsidR="00D27451" w:rsidRPr="00D27451">
              <w:rPr>
                <w:rFonts w:ascii="Times New Roman" w:hAnsi="Times New Roman"/>
                <w:i/>
                <w:sz w:val="24"/>
                <w:szCs w:val="24"/>
              </w:rPr>
              <w:t xml:space="preserve"> dalis</w:t>
            </w:r>
            <w:r w:rsidR="00D27451" w:rsidRPr="003B4E55">
              <w:rPr>
                <w:rStyle w:val="FootnoteReference"/>
                <w:rFonts w:ascii="Times New Roman" w:hAnsi="Times New Roman"/>
                <w:i/>
                <w:sz w:val="24"/>
                <w:szCs w:val="24"/>
              </w:rPr>
              <w:footnoteReference w:id="23"/>
            </w:r>
            <w:r w:rsidR="00D27451" w:rsidRPr="00D27451">
              <w:rPr>
                <w:rFonts w:ascii="Times New Roman" w:hAnsi="Times New Roman"/>
                <w:i/>
                <w:sz w:val="24"/>
                <w:szCs w:val="24"/>
              </w:rPr>
              <w:t xml:space="preserve"> </w:t>
            </w:r>
            <w:r w:rsidR="00D27451">
              <w:rPr>
                <w:rFonts w:ascii="Times New Roman" w:hAnsi="Times New Roman"/>
                <w:i/>
                <w:sz w:val="24"/>
                <w:szCs w:val="24"/>
              </w:rPr>
              <w:t xml:space="preserve"> </w:t>
            </w:r>
            <w:r w:rsidRPr="00AA614A">
              <w:rPr>
                <w:rFonts w:ascii="Times New Roman" w:hAnsi="Times New Roman"/>
                <w:i/>
                <w:sz w:val="24"/>
                <w:szCs w:val="24"/>
              </w:rPr>
              <w:t xml:space="preserve"> </w:t>
            </w:r>
          </w:p>
        </w:tc>
      </w:tr>
      <w:tr w:rsidR="008A748F" w:rsidRPr="00196CE1" w14:paraId="2BA13CA5" w14:textId="77777777" w:rsidTr="00982C6D">
        <w:trPr>
          <w:gridAfter w:val="1"/>
          <w:wAfter w:w="108" w:type="dxa"/>
        </w:trPr>
        <w:tc>
          <w:tcPr>
            <w:tcW w:w="9606" w:type="dxa"/>
            <w:gridSpan w:val="2"/>
            <w:shd w:val="clear" w:color="auto" w:fill="auto"/>
          </w:tcPr>
          <w:p w14:paraId="2691D887" w14:textId="77777777" w:rsidR="007E6F2F" w:rsidRDefault="00F85BB1" w:rsidP="00F85BB1">
            <w:pPr>
              <w:spacing w:before="0" w:after="0"/>
              <w:ind w:left="57" w:firstLine="369"/>
              <w:rPr>
                <w:rFonts w:ascii="Times New Roman" w:hAnsi="Times New Roman"/>
                <w:sz w:val="24"/>
                <w:szCs w:val="24"/>
              </w:rPr>
            </w:pPr>
            <w:bookmarkStart w:id="1" w:name="_Hlk491863818"/>
            <w:r w:rsidRPr="00F85BB1">
              <w:rPr>
                <w:rFonts w:ascii="Times New Roman" w:hAnsi="Times New Roman"/>
                <w:sz w:val="24"/>
                <w:szCs w:val="24"/>
              </w:rPr>
              <w:t xml:space="preserve">Remiantis Pirkimo sąlygų priedu Nr. 3 „Pasiūlymas &lt;...&gt; B dalis. Kainos“ </w:t>
            </w:r>
            <w:r w:rsidR="00955524">
              <w:rPr>
                <w:rFonts w:ascii="Times New Roman" w:hAnsi="Times New Roman"/>
                <w:sz w:val="24"/>
                <w:szCs w:val="24"/>
              </w:rPr>
              <w:t xml:space="preserve">(toliau – Pasiūlymo forma) </w:t>
            </w:r>
            <w:r w:rsidRPr="00F85BB1">
              <w:rPr>
                <w:rFonts w:ascii="Times New Roman" w:hAnsi="Times New Roman"/>
                <w:sz w:val="24"/>
                <w:szCs w:val="24"/>
              </w:rPr>
              <w:t>ir priedo Nr. 5 „Paslaugų viešojo pirkimo-pardavimo sutarties projektas“ 4.1 ir 4.6 punktais, darytina išvada, kad sutarties kainai apskaičiuoti Perkančioji organizacija taiko fiksuotos kainos kainodaros taisykles. Vadovaujantis Viešojo pirkimo-pardavimo sutarčių kainoda</w:t>
            </w:r>
            <w:r w:rsidR="00D27451">
              <w:rPr>
                <w:rFonts w:ascii="Times New Roman" w:hAnsi="Times New Roman"/>
                <w:sz w:val="24"/>
                <w:szCs w:val="24"/>
              </w:rPr>
              <w:t>ros taisyklių nustatymo metodikos</w:t>
            </w:r>
            <w:r w:rsidRPr="00F85BB1">
              <w:rPr>
                <w:rFonts w:ascii="Times New Roman" w:hAnsi="Times New Roman"/>
                <w:sz w:val="24"/>
                <w:szCs w:val="24"/>
              </w:rPr>
              <w:t xml:space="preserve"> (toliau – </w:t>
            </w:r>
            <w:r w:rsidR="00D27451">
              <w:rPr>
                <w:rFonts w:ascii="Times New Roman" w:hAnsi="Times New Roman"/>
                <w:sz w:val="24"/>
                <w:szCs w:val="24"/>
              </w:rPr>
              <w:t>Kainodaros m</w:t>
            </w:r>
            <w:r w:rsidRPr="00F85BB1">
              <w:rPr>
                <w:rFonts w:ascii="Times New Roman" w:hAnsi="Times New Roman"/>
                <w:sz w:val="24"/>
                <w:szCs w:val="24"/>
              </w:rPr>
              <w:t>etodika), patvirtint</w:t>
            </w:r>
            <w:r w:rsidR="00D27451">
              <w:rPr>
                <w:rFonts w:ascii="Times New Roman" w:hAnsi="Times New Roman"/>
                <w:sz w:val="24"/>
                <w:szCs w:val="24"/>
              </w:rPr>
              <w:t>os</w:t>
            </w:r>
            <w:r w:rsidRPr="00F85BB1">
              <w:rPr>
                <w:rFonts w:ascii="Times New Roman" w:hAnsi="Times New Roman"/>
                <w:sz w:val="24"/>
                <w:szCs w:val="24"/>
              </w:rPr>
              <w:t xml:space="preserve"> Tarnybos direktoriaus 2003 m. vasario 25 d. įsakymu Nr. 1S-21  (redakcija galiojusia Pirkimo paskelbimo metu), </w:t>
            </w:r>
            <w:r w:rsidR="00D27451">
              <w:rPr>
                <w:rFonts w:ascii="Times New Roman" w:hAnsi="Times New Roman"/>
                <w:sz w:val="24"/>
                <w:szCs w:val="24"/>
              </w:rPr>
              <w:t>9 punktu „</w:t>
            </w:r>
            <w:r w:rsidRPr="00F85BB1">
              <w:rPr>
                <w:rFonts w:ascii="Times New Roman" w:hAnsi="Times New Roman"/>
                <w:sz w:val="24"/>
                <w:szCs w:val="24"/>
              </w:rPr>
              <w:t xml:space="preserve">fiksuota kaina nustatoma, kai iš anksto (iki pirkimo pradžios): </w:t>
            </w:r>
            <w:r w:rsidR="00D27451">
              <w:rPr>
                <w:rFonts w:ascii="Times New Roman" w:hAnsi="Times New Roman"/>
                <w:sz w:val="24"/>
                <w:szCs w:val="24"/>
              </w:rPr>
              <w:t xml:space="preserve">9.1 </w:t>
            </w:r>
            <w:r w:rsidRPr="00F85BB1">
              <w:rPr>
                <w:rFonts w:ascii="Times New Roman" w:hAnsi="Times New Roman"/>
                <w:sz w:val="24"/>
                <w:szCs w:val="24"/>
              </w:rPr>
              <w:t xml:space="preserve">perkančioji organizacija gali pirkimo dokumentuose nurodyti pakankamai tikslų reikalingų prekių, paslaugų ar darbų kiekį, ir </w:t>
            </w:r>
            <w:r w:rsidR="00D27451">
              <w:rPr>
                <w:rFonts w:ascii="Times New Roman" w:hAnsi="Times New Roman"/>
                <w:sz w:val="24"/>
                <w:szCs w:val="24"/>
              </w:rPr>
              <w:t xml:space="preserve">9.2 </w:t>
            </w:r>
            <w:r w:rsidRPr="00F85BB1">
              <w:rPr>
                <w:rFonts w:ascii="Times New Roman" w:hAnsi="Times New Roman"/>
                <w:sz w:val="24"/>
                <w:szCs w:val="24"/>
              </w:rPr>
              <w:t>pateikdamas pasiūlymą tiekėjas turi realias galimybes numatyti ir įvertinti sutarties vykdymo išlaidas bei gali prisiimti riziką dėl šių išlaidų dydžio</w:t>
            </w:r>
            <w:r w:rsidR="00D27451">
              <w:rPr>
                <w:rFonts w:ascii="Times New Roman" w:hAnsi="Times New Roman"/>
                <w:sz w:val="24"/>
                <w:szCs w:val="24"/>
              </w:rPr>
              <w:t>“</w:t>
            </w:r>
            <w:r w:rsidRPr="00F85BB1">
              <w:rPr>
                <w:rFonts w:ascii="Times New Roman" w:hAnsi="Times New Roman"/>
                <w:sz w:val="24"/>
                <w:szCs w:val="24"/>
              </w:rPr>
              <w:t>. Šio Pirkimo atveju, iš anksto žinomas tik minimalus unikalių mokymo dalyvių ir planuojamų renginių skaičius (</w:t>
            </w:r>
            <w:r w:rsidR="00D27451" w:rsidRPr="003B4E55">
              <w:rPr>
                <w:rFonts w:ascii="Times New Roman" w:hAnsi="Times New Roman"/>
                <w:sz w:val="24"/>
                <w:szCs w:val="24"/>
              </w:rPr>
              <w:t>Pirkimo sąlygų priedo Nr. 2 „Techninė specifikacija &lt;...&gt;“ 4.1</w:t>
            </w:r>
            <w:r w:rsidR="00D27451">
              <w:rPr>
                <w:rFonts w:ascii="Times New Roman" w:hAnsi="Times New Roman"/>
                <w:sz w:val="24"/>
                <w:szCs w:val="24"/>
              </w:rPr>
              <w:t>,</w:t>
            </w:r>
            <w:r w:rsidR="00D27451" w:rsidRPr="003B4E55">
              <w:rPr>
                <w:rFonts w:ascii="Times New Roman" w:hAnsi="Times New Roman"/>
                <w:sz w:val="24"/>
                <w:szCs w:val="24"/>
              </w:rPr>
              <w:t xml:space="preserve"> </w:t>
            </w:r>
            <w:r w:rsidR="00D27451">
              <w:rPr>
                <w:rFonts w:ascii="Times New Roman" w:hAnsi="Times New Roman"/>
                <w:sz w:val="24"/>
                <w:szCs w:val="24"/>
              </w:rPr>
              <w:t xml:space="preserve">4.2 </w:t>
            </w:r>
            <w:r w:rsidRPr="00D27451">
              <w:rPr>
                <w:rFonts w:ascii="Times New Roman" w:hAnsi="Times New Roman"/>
                <w:sz w:val="24"/>
                <w:szCs w:val="24"/>
              </w:rPr>
              <w:t>punktai</w:t>
            </w:r>
            <w:r w:rsidRPr="00F85BB1">
              <w:rPr>
                <w:rFonts w:ascii="Times New Roman" w:hAnsi="Times New Roman"/>
                <w:sz w:val="24"/>
                <w:szCs w:val="24"/>
              </w:rPr>
              <w:t xml:space="preserve">), be to, Pirkimu yra perkamos skirtingos paslaugos – mokymo, apgyvendinimo ir maitinimo, kurioms taikomi skirtingi PVM tarifai, tačiau Pirkimo sąlygų priede Nr. 3 „&lt;...&gt; B Dalis. Kainos“ (toliau – Pasiūlymo forma) prašoma pateikti bendrą perkamų mokymo paslaugų kainą, neprašant įvardinti kiekvienos iš nurodytos paslaugos įkainio. </w:t>
            </w:r>
          </w:p>
          <w:p w14:paraId="442C7B59" w14:textId="77777777" w:rsidR="00955524" w:rsidRDefault="00955524" w:rsidP="00F85BB1">
            <w:pPr>
              <w:spacing w:before="0" w:after="0"/>
              <w:ind w:left="57" w:firstLine="369"/>
              <w:rPr>
                <w:rFonts w:ascii="Times New Roman" w:hAnsi="Times New Roman"/>
                <w:sz w:val="24"/>
                <w:szCs w:val="24"/>
              </w:rPr>
            </w:pPr>
            <w:r w:rsidRPr="00754E09">
              <w:rPr>
                <w:rFonts w:ascii="Times New Roman" w:hAnsi="Times New Roman"/>
                <w:sz w:val="24"/>
                <w:szCs w:val="24"/>
              </w:rPr>
              <w:t xml:space="preserve">Taip pat, Pirkimo sąlygų priedo Nr. 5 „&lt;...&gt; Sutarties projektas &lt;...&gt;“ 4.5.2 punkte nustatyta, kad „Su tiekėju atsiskaitoma dalimis ne dažniau kaip kas 3 (tris) mėnesius už šį laikotarpį pagal pateiktas ataskaitas suteiktas Paslaugas“, tačiau neaišku, kaip Perkančioji organizacija vykdys minėtą sąlygą, atsižvelgiant į tai, kad Pasiūlymo formoje prašoma pateikti bendrą pasiūlymo kainą, neišskiriant atskirų paslaugų įkainių, </w:t>
            </w:r>
            <w:r w:rsidR="00754E09" w:rsidRPr="00754E09">
              <w:rPr>
                <w:rFonts w:ascii="Times New Roman" w:hAnsi="Times New Roman"/>
                <w:sz w:val="24"/>
                <w:szCs w:val="24"/>
              </w:rPr>
              <w:t xml:space="preserve">nurodyta </w:t>
            </w:r>
            <w:r w:rsidRPr="00754E09">
              <w:rPr>
                <w:rFonts w:ascii="Times New Roman" w:hAnsi="Times New Roman"/>
                <w:sz w:val="24"/>
                <w:szCs w:val="24"/>
              </w:rPr>
              <w:t xml:space="preserve">sutarties trukmė </w:t>
            </w:r>
            <w:r w:rsidR="00754E09">
              <w:rPr>
                <w:rFonts w:ascii="Times New Roman" w:hAnsi="Times New Roman"/>
                <w:sz w:val="24"/>
                <w:szCs w:val="24"/>
              </w:rPr>
              <w:t xml:space="preserve">– </w:t>
            </w:r>
            <w:r>
              <w:rPr>
                <w:rFonts w:ascii="Times New Roman" w:hAnsi="Times New Roman"/>
                <w:sz w:val="24"/>
                <w:szCs w:val="24"/>
              </w:rPr>
              <w:t>34</w:t>
            </w:r>
            <w:r w:rsidRPr="00985449">
              <w:rPr>
                <w:rFonts w:ascii="Times New Roman" w:hAnsi="Times New Roman"/>
                <w:sz w:val="24"/>
                <w:szCs w:val="24"/>
              </w:rPr>
              <w:t xml:space="preserve"> mėn.</w:t>
            </w:r>
            <w:r>
              <w:rPr>
                <w:rFonts w:ascii="Times New Roman" w:hAnsi="Times New Roman"/>
                <w:sz w:val="24"/>
                <w:szCs w:val="24"/>
              </w:rPr>
              <w:t xml:space="preserve"> po sutarties sudarymo</w:t>
            </w:r>
            <w:r w:rsidR="00754E09">
              <w:rPr>
                <w:rFonts w:ascii="Times New Roman" w:hAnsi="Times New Roman"/>
                <w:sz w:val="24"/>
                <w:szCs w:val="24"/>
              </w:rPr>
              <w:t>, paslaugų teikimo periodiškumas neapibrėžtas ir neaišku kuo remiantis bus paskaičiuojami tarpiniai mokėjimai.</w:t>
            </w:r>
          </w:p>
          <w:p w14:paraId="7984EA08" w14:textId="77777777" w:rsidR="00F85BB1" w:rsidRPr="00617401" w:rsidRDefault="00F85BB1" w:rsidP="00F85BB1">
            <w:pPr>
              <w:spacing w:before="0" w:after="0"/>
              <w:ind w:left="57" w:firstLine="369"/>
              <w:rPr>
                <w:rFonts w:ascii="Times New Roman" w:hAnsi="Times New Roman"/>
                <w:sz w:val="24"/>
                <w:szCs w:val="24"/>
              </w:rPr>
            </w:pPr>
            <w:r w:rsidRPr="00617401">
              <w:rPr>
                <w:rFonts w:ascii="Times New Roman" w:hAnsi="Times New Roman"/>
                <w:sz w:val="24"/>
                <w:szCs w:val="24"/>
              </w:rPr>
              <w:t>Tarnyba pažymi, kad Perkančioji organizacija turėjo pareikalauti, kad tiekėjai savo pasiūlymuose pateiktų ne tik bendrą mokymo paslaugų kainą, bet ir visų atskirų šios kainos sudėtinių dalių įkainius, t. y. išskirti ir atskirai nurodyti vieno dalyvio apgyvendinimo įkainį, maitinimo įkainį ir mokymų įkainius ar pan., kuriuos Perkančioji organizacij</w:t>
            </w:r>
            <w:r w:rsidR="00754E09" w:rsidRPr="00617401">
              <w:rPr>
                <w:rFonts w:ascii="Times New Roman" w:hAnsi="Times New Roman"/>
                <w:sz w:val="24"/>
                <w:szCs w:val="24"/>
              </w:rPr>
              <w:t xml:space="preserve">a privalėtų perkelti į </w:t>
            </w:r>
            <w:r w:rsidR="00754E09" w:rsidRPr="00617401">
              <w:rPr>
                <w:rFonts w:ascii="Times New Roman" w:hAnsi="Times New Roman"/>
                <w:sz w:val="24"/>
                <w:szCs w:val="24"/>
              </w:rPr>
              <w:lastRenderedPageBreak/>
              <w:t xml:space="preserve">sutartį ir jais remiantis galėtų paskaičiuoti </w:t>
            </w:r>
            <w:r w:rsidR="00617401" w:rsidRPr="00617401">
              <w:rPr>
                <w:rFonts w:ascii="Times New Roman" w:hAnsi="Times New Roman"/>
                <w:sz w:val="24"/>
                <w:szCs w:val="24"/>
              </w:rPr>
              <w:t>atliktinų mokėjimų</w:t>
            </w:r>
            <w:r w:rsidR="00754E09" w:rsidRPr="00617401">
              <w:rPr>
                <w:rFonts w:ascii="Times New Roman" w:hAnsi="Times New Roman"/>
                <w:sz w:val="24"/>
                <w:szCs w:val="24"/>
              </w:rPr>
              <w:t xml:space="preserve"> sumas</w:t>
            </w:r>
            <w:r w:rsidR="00617401" w:rsidRPr="00617401">
              <w:rPr>
                <w:rFonts w:ascii="Times New Roman" w:hAnsi="Times New Roman"/>
                <w:sz w:val="24"/>
                <w:szCs w:val="24"/>
              </w:rPr>
              <w:t xml:space="preserve"> už suteiktas paslaugas</w:t>
            </w:r>
            <w:r w:rsidR="00754E09" w:rsidRPr="00617401">
              <w:rPr>
                <w:rFonts w:ascii="Times New Roman" w:hAnsi="Times New Roman"/>
                <w:sz w:val="24"/>
                <w:szCs w:val="24"/>
              </w:rPr>
              <w:t>.</w:t>
            </w:r>
          </w:p>
          <w:p w14:paraId="7B1339E7" w14:textId="77777777" w:rsidR="005922F4" w:rsidRPr="00466569" w:rsidRDefault="00F85BB1" w:rsidP="00EF1005">
            <w:pPr>
              <w:spacing w:before="0" w:after="0"/>
              <w:ind w:left="57" w:firstLine="369"/>
              <w:rPr>
                <w:rFonts w:ascii="Times New Roman" w:hAnsi="Times New Roman"/>
                <w:sz w:val="24"/>
                <w:szCs w:val="24"/>
                <w:highlight w:val="green"/>
              </w:rPr>
            </w:pPr>
            <w:r w:rsidRPr="00F85BB1">
              <w:rPr>
                <w:rFonts w:ascii="Times New Roman" w:hAnsi="Times New Roman"/>
                <w:sz w:val="24"/>
                <w:szCs w:val="24"/>
              </w:rPr>
              <w:t>Atsižvelgdama į tai Tarnyba konstatuoja, kad Pirkimo sąlygose numatyta sutarties kainodara pažeidžia Įstatym</w:t>
            </w:r>
            <w:r w:rsidR="007E6F2F">
              <w:rPr>
                <w:rFonts w:ascii="Times New Roman" w:hAnsi="Times New Roman"/>
                <w:sz w:val="24"/>
                <w:szCs w:val="24"/>
              </w:rPr>
              <w:t>o</w:t>
            </w:r>
            <w:r w:rsidRPr="00F85BB1">
              <w:rPr>
                <w:rFonts w:ascii="Times New Roman" w:hAnsi="Times New Roman"/>
                <w:sz w:val="24"/>
                <w:szCs w:val="24"/>
              </w:rPr>
              <w:t xml:space="preserve"> </w:t>
            </w:r>
            <w:r w:rsidR="007E6F2F">
              <w:rPr>
                <w:rFonts w:ascii="Times New Roman" w:hAnsi="Times New Roman"/>
                <w:sz w:val="24"/>
                <w:szCs w:val="24"/>
              </w:rPr>
              <w:t>3 straipsnio 1 dalyje įtvirtintą skaidrumo principą.</w:t>
            </w:r>
            <w:bookmarkEnd w:id="1"/>
          </w:p>
        </w:tc>
      </w:tr>
    </w:tbl>
    <w:p w14:paraId="63A044CE" w14:textId="77777777" w:rsidR="004335DF" w:rsidRPr="00196CE1" w:rsidRDefault="004335DF" w:rsidP="00E1522B">
      <w:pPr>
        <w:spacing w:after="0"/>
        <w:rPr>
          <w:rFonts w:ascii="Times New Roman" w:hAnsi="Times New Roman"/>
          <w:b/>
          <w:sz w:val="24"/>
          <w:szCs w:val="24"/>
        </w:rPr>
      </w:pPr>
    </w:p>
    <w:p w14:paraId="167C7BE3" w14:textId="77777777" w:rsidR="00C77B8E" w:rsidRPr="00196CE1" w:rsidRDefault="008F4663" w:rsidP="002772B6">
      <w:pPr>
        <w:spacing w:after="0"/>
        <w:jc w:val="center"/>
        <w:rPr>
          <w:rFonts w:ascii="Times New Roman" w:hAnsi="Times New Roman"/>
          <w:b/>
          <w:sz w:val="24"/>
          <w:szCs w:val="24"/>
        </w:rPr>
      </w:pPr>
      <w:r w:rsidRPr="00196CE1">
        <w:rPr>
          <w:rFonts w:ascii="Times New Roman" w:hAnsi="Times New Roman"/>
          <w:b/>
          <w:sz w:val="24"/>
          <w:szCs w:val="24"/>
        </w:rPr>
        <w:t>I</w:t>
      </w:r>
      <w:r w:rsidR="00ED2E43" w:rsidRPr="00196CE1">
        <w:rPr>
          <w:rFonts w:ascii="Times New Roman" w:hAnsi="Times New Roman"/>
          <w:b/>
          <w:sz w:val="24"/>
          <w:szCs w:val="24"/>
        </w:rPr>
        <w:t>II</w:t>
      </w:r>
      <w:r w:rsidR="00B64236" w:rsidRPr="00196CE1">
        <w:rPr>
          <w:rFonts w:ascii="Times New Roman" w:hAnsi="Times New Roman"/>
          <w:b/>
          <w:sz w:val="24"/>
          <w:szCs w:val="24"/>
        </w:rPr>
        <w:t xml:space="preserve"> dalis </w:t>
      </w:r>
      <w:r w:rsidR="007A1C3E" w:rsidRPr="00196CE1">
        <w:rPr>
          <w:rFonts w:ascii="Times New Roman" w:hAnsi="Times New Roman"/>
          <w:b/>
          <w:sz w:val="24"/>
          <w:szCs w:val="24"/>
        </w:rPr>
        <w:t>P</w:t>
      </w:r>
      <w:r w:rsidR="00B64236" w:rsidRPr="00196CE1">
        <w:rPr>
          <w:rFonts w:ascii="Times New Roman" w:hAnsi="Times New Roman"/>
          <w:b/>
          <w:sz w:val="24"/>
          <w:szCs w:val="24"/>
        </w:rPr>
        <w:t>astabos</w:t>
      </w:r>
      <w:r w:rsidR="00B822E0" w:rsidRPr="00196CE1">
        <w:rPr>
          <w:rFonts w:ascii="Times New Roman" w:hAnsi="Times New Roman"/>
          <w:b/>
          <w:sz w:val="24"/>
          <w:szCs w:val="24"/>
        </w:rPr>
        <w:t>,</w:t>
      </w:r>
      <w:r w:rsidR="00B64236" w:rsidRPr="00196CE1">
        <w:rPr>
          <w:rFonts w:ascii="Times New Roman" w:hAnsi="Times New Roman"/>
          <w:b/>
          <w:sz w:val="24"/>
          <w:szCs w:val="24"/>
        </w:rPr>
        <w:t xml:space="preserve"> </w:t>
      </w:r>
      <w:r w:rsidR="0071396E" w:rsidRPr="00196CE1">
        <w:rPr>
          <w:rFonts w:ascii="Times New Roman" w:hAnsi="Times New Roman"/>
          <w:b/>
          <w:sz w:val="24"/>
          <w:szCs w:val="24"/>
        </w:rPr>
        <w:t xml:space="preserve">į kurias </w:t>
      </w:r>
      <w:r w:rsidR="005B7071" w:rsidRPr="00196CE1">
        <w:rPr>
          <w:rFonts w:ascii="Times New Roman" w:hAnsi="Times New Roman"/>
          <w:b/>
          <w:sz w:val="24"/>
          <w:szCs w:val="24"/>
        </w:rPr>
        <w:t>P</w:t>
      </w:r>
      <w:r w:rsidR="00BA3D29" w:rsidRPr="00196CE1">
        <w:rPr>
          <w:rFonts w:ascii="Times New Roman" w:hAnsi="Times New Roman"/>
          <w:b/>
          <w:sz w:val="24"/>
          <w:szCs w:val="24"/>
        </w:rPr>
        <w:t>erkančioji organizacija</w:t>
      </w:r>
      <w:r w:rsidR="0071396E" w:rsidRPr="00196CE1">
        <w:rPr>
          <w:rFonts w:ascii="Times New Roman" w:hAnsi="Times New Roman"/>
          <w:b/>
          <w:sz w:val="24"/>
          <w:szCs w:val="24"/>
        </w:rPr>
        <w:t xml:space="preserve"> turėtų atsižvelgti vykdydama </w:t>
      </w:r>
      <w:r w:rsidR="00E93D32" w:rsidRPr="00196CE1">
        <w:rPr>
          <w:rFonts w:ascii="Times New Roman" w:hAnsi="Times New Roman"/>
          <w:b/>
          <w:sz w:val="24"/>
          <w:szCs w:val="24"/>
        </w:rPr>
        <w:t xml:space="preserve">kitus </w:t>
      </w:r>
      <w:r w:rsidR="0071396E" w:rsidRPr="00196CE1">
        <w:rPr>
          <w:rFonts w:ascii="Times New Roman" w:hAnsi="Times New Roman"/>
          <w:b/>
          <w:sz w:val="24"/>
          <w:szCs w:val="24"/>
        </w:rPr>
        <w:t>pirkimus</w:t>
      </w:r>
    </w:p>
    <w:p w14:paraId="40A98044" w14:textId="77777777" w:rsidR="00AD1A78" w:rsidRPr="00196CE1" w:rsidRDefault="00AD1A78" w:rsidP="002772B6">
      <w:pPr>
        <w:spacing w:after="0"/>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9179"/>
      </w:tblGrid>
      <w:tr w:rsidR="00A10421" w:rsidRPr="00AA614A" w14:paraId="714D6AD7" w14:textId="77777777" w:rsidTr="00F04D39">
        <w:tc>
          <w:tcPr>
            <w:tcW w:w="535" w:type="dxa"/>
            <w:shd w:val="clear" w:color="auto" w:fill="auto"/>
          </w:tcPr>
          <w:p w14:paraId="41AA9183" w14:textId="77777777" w:rsidR="00A10421" w:rsidRPr="00D72053" w:rsidRDefault="00A10421" w:rsidP="00946CD2">
            <w:pPr>
              <w:numPr>
                <w:ilvl w:val="0"/>
                <w:numId w:val="48"/>
              </w:numPr>
              <w:jc w:val="left"/>
              <w:rPr>
                <w:rFonts w:ascii="Times New Roman" w:hAnsi="Times New Roman"/>
                <w:sz w:val="24"/>
                <w:szCs w:val="24"/>
              </w:rPr>
            </w:pPr>
          </w:p>
        </w:tc>
        <w:tc>
          <w:tcPr>
            <w:tcW w:w="9179" w:type="dxa"/>
            <w:shd w:val="clear" w:color="auto" w:fill="auto"/>
          </w:tcPr>
          <w:p w14:paraId="479D1C24" w14:textId="77777777" w:rsidR="00A10421" w:rsidRPr="00AA614A" w:rsidRDefault="00D378B0" w:rsidP="00064D4A">
            <w:pPr>
              <w:ind w:firstLine="113"/>
              <w:rPr>
                <w:rFonts w:ascii="Times New Roman" w:hAnsi="Times New Roman"/>
                <w:sz w:val="24"/>
                <w:szCs w:val="24"/>
              </w:rPr>
            </w:pPr>
            <w:r w:rsidRPr="00AA614A">
              <w:rPr>
                <w:rFonts w:ascii="Times New Roman" w:hAnsi="Times New Roman"/>
                <w:i/>
                <w:sz w:val="24"/>
                <w:szCs w:val="24"/>
              </w:rPr>
              <w:t xml:space="preserve">Įstatymo </w:t>
            </w:r>
            <w:r w:rsidR="004B1A0A" w:rsidRPr="00AA614A">
              <w:rPr>
                <w:rFonts w:ascii="Times New Roman" w:hAnsi="Times New Roman"/>
                <w:i/>
                <w:sz w:val="24"/>
                <w:szCs w:val="24"/>
              </w:rPr>
              <w:t>15 straipsnio 5 dalis</w:t>
            </w:r>
            <w:r w:rsidR="004B1A0A" w:rsidRPr="00AA614A">
              <w:rPr>
                <w:rFonts w:ascii="Times New Roman" w:hAnsi="Times New Roman"/>
                <w:i/>
                <w:sz w:val="24"/>
                <w:szCs w:val="24"/>
                <w:vertAlign w:val="superscript"/>
              </w:rPr>
              <w:footnoteReference w:id="24"/>
            </w:r>
            <w:r w:rsidR="004B1A0A" w:rsidRPr="00AA614A">
              <w:rPr>
                <w:rFonts w:ascii="Times New Roman" w:hAnsi="Times New Roman"/>
                <w:i/>
                <w:sz w:val="24"/>
                <w:szCs w:val="24"/>
              </w:rPr>
              <w:t xml:space="preserve">, </w:t>
            </w:r>
            <w:r w:rsidRPr="00D64DF7">
              <w:rPr>
                <w:rFonts w:ascii="Times New Roman" w:hAnsi="Times New Roman"/>
                <w:i/>
                <w:sz w:val="24"/>
                <w:szCs w:val="24"/>
              </w:rPr>
              <w:t>16 straipsnio 3 dalis</w:t>
            </w:r>
            <w:r w:rsidRPr="00D64DF7">
              <w:rPr>
                <w:rFonts w:ascii="Times New Roman" w:hAnsi="Times New Roman"/>
                <w:i/>
                <w:sz w:val="24"/>
                <w:szCs w:val="24"/>
                <w:vertAlign w:val="superscript"/>
              </w:rPr>
              <w:footnoteReference w:id="25"/>
            </w:r>
            <w:r w:rsidR="004B1A0A" w:rsidRPr="00D64DF7">
              <w:rPr>
                <w:rFonts w:ascii="Times New Roman" w:hAnsi="Times New Roman"/>
                <w:i/>
                <w:sz w:val="24"/>
                <w:szCs w:val="24"/>
              </w:rPr>
              <w:t>,</w:t>
            </w:r>
            <w:r w:rsidR="004B1A0A" w:rsidRPr="00AA614A">
              <w:rPr>
                <w:rFonts w:ascii="Times New Roman" w:hAnsi="Times New Roman"/>
                <w:i/>
                <w:sz w:val="24"/>
                <w:szCs w:val="24"/>
              </w:rPr>
              <w:t xml:space="preserve"> 91 straipsnio 1 dalis</w:t>
            </w:r>
            <w:r w:rsidR="004B1A0A" w:rsidRPr="00AA614A">
              <w:rPr>
                <w:rFonts w:ascii="Times New Roman" w:hAnsi="Times New Roman"/>
                <w:i/>
                <w:sz w:val="24"/>
                <w:szCs w:val="24"/>
                <w:vertAlign w:val="superscript"/>
              </w:rPr>
              <w:footnoteReference w:id="26"/>
            </w:r>
          </w:p>
        </w:tc>
      </w:tr>
      <w:tr w:rsidR="00D378B0" w:rsidRPr="00196CE1" w14:paraId="619B9491" w14:textId="77777777" w:rsidTr="00F04D39">
        <w:tc>
          <w:tcPr>
            <w:tcW w:w="9714" w:type="dxa"/>
            <w:gridSpan w:val="2"/>
            <w:shd w:val="clear" w:color="auto" w:fill="auto"/>
          </w:tcPr>
          <w:p w14:paraId="4208AB2C" w14:textId="77777777" w:rsidR="00D378B0" w:rsidRPr="00D378B0" w:rsidRDefault="00A67C3E" w:rsidP="00F563C4">
            <w:pPr>
              <w:spacing w:before="0" w:after="0"/>
              <w:rPr>
                <w:rFonts w:ascii="Times New Roman" w:hAnsi="Times New Roman"/>
                <w:sz w:val="24"/>
                <w:szCs w:val="24"/>
              </w:rPr>
            </w:pPr>
            <w:r>
              <w:rPr>
                <w:rFonts w:ascii="Times New Roman" w:hAnsi="Times New Roman"/>
                <w:sz w:val="24"/>
                <w:szCs w:val="24"/>
              </w:rPr>
              <w:t xml:space="preserve">Komisija </w:t>
            </w:r>
            <w:r w:rsidR="00B7547F" w:rsidRPr="00AA614A">
              <w:rPr>
                <w:rFonts w:ascii="Times New Roman" w:hAnsi="Times New Roman"/>
                <w:sz w:val="24"/>
                <w:szCs w:val="24"/>
              </w:rPr>
              <w:t>neįformino sprendimo neatlikti Pirkimo iš centrinės perkančiosios organizacijos (CPO)</w:t>
            </w:r>
            <w:r w:rsidR="00AA614A" w:rsidRPr="00AA614A">
              <w:rPr>
                <w:rFonts w:ascii="Times New Roman" w:hAnsi="Times New Roman"/>
                <w:sz w:val="24"/>
                <w:szCs w:val="24"/>
              </w:rPr>
              <w:t xml:space="preserve"> ar iš Įstatymo 91 straipsnio 1 dalyje nurodytų socialinių įmonių</w:t>
            </w:r>
            <w:r w:rsidR="00B7547F" w:rsidRPr="00AA614A">
              <w:rPr>
                <w:rFonts w:ascii="Times New Roman" w:hAnsi="Times New Roman"/>
                <w:sz w:val="24"/>
                <w:szCs w:val="24"/>
              </w:rPr>
              <w:t>.</w:t>
            </w:r>
            <w:r w:rsidR="00B7547F">
              <w:rPr>
                <w:rFonts w:ascii="Times New Roman" w:hAnsi="Times New Roman"/>
                <w:sz w:val="24"/>
                <w:szCs w:val="24"/>
              </w:rPr>
              <w:t xml:space="preserve"> </w:t>
            </w:r>
          </w:p>
        </w:tc>
      </w:tr>
      <w:tr w:rsidR="00F04D39" w:rsidRPr="00AA614A" w14:paraId="2E2C91DC" w14:textId="77777777" w:rsidTr="00F04D39">
        <w:tc>
          <w:tcPr>
            <w:tcW w:w="535" w:type="dxa"/>
            <w:shd w:val="clear" w:color="auto" w:fill="auto"/>
          </w:tcPr>
          <w:p w14:paraId="289F79DC" w14:textId="77777777" w:rsidR="00F04D39" w:rsidRPr="00D72053" w:rsidRDefault="00F04D39" w:rsidP="00946CD2">
            <w:pPr>
              <w:numPr>
                <w:ilvl w:val="0"/>
                <w:numId w:val="48"/>
              </w:numPr>
              <w:jc w:val="left"/>
              <w:rPr>
                <w:rFonts w:ascii="Times New Roman" w:hAnsi="Times New Roman"/>
                <w:sz w:val="24"/>
                <w:szCs w:val="24"/>
              </w:rPr>
            </w:pPr>
          </w:p>
        </w:tc>
        <w:tc>
          <w:tcPr>
            <w:tcW w:w="9179" w:type="dxa"/>
            <w:shd w:val="clear" w:color="auto" w:fill="auto"/>
          </w:tcPr>
          <w:p w14:paraId="0912B814" w14:textId="77777777" w:rsidR="00F04D39" w:rsidRPr="00AA614A" w:rsidRDefault="00F04D39" w:rsidP="001D433A">
            <w:pPr>
              <w:ind w:firstLine="113"/>
              <w:rPr>
                <w:rFonts w:ascii="Times New Roman" w:hAnsi="Times New Roman"/>
                <w:sz w:val="24"/>
                <w:szCs w:val="24"/>
              </w:rPr>
            </w:pPr>
            <w:r>
              <w:rPr>
                <w:rFonts w:ascii="Times New Roman" w:hAnsi="Times New Roman"/>
                <w:sz w:val="24"/>
                <w:szCs w:val="24"/>
              </w:rPr>
              <w:t xml:space="preserve">– </w:t>
            </w:r>
          </w:p>
        </w:tc>
      </w:tr>
      <w:tr w:rsidR="00F04D39" w:rsidRPr="00196CE1" w14:paraId="055C2494" w14:textId="77777777" w:rsidTr="00F04D39">
        <w:tc>
          <w:tcPr>
            <w:tcW w:w="9714" w:type="dxa"/>
            <w:gridSpan w:val="2"/>
            <w:shd w:val="clear" w:color="auto" w:fill="auto"/>
          </w:tcPr>
          <w:p w14:paraId="7EE48068" w14:textId="77777777" w:rsidR="00507DA5" w:rsidRPr="007E6F2F" w:rsidRDefault="00F04D39" w:rsidP="00F563C4">
            <w:pPr>
              <w:spacing w:before="0" w:after="0"/>
              <w:rPr>
                <w:rFonts w:ascii="Times New Roman" w:hAnsi="Times New Roman"/>
                <w:sz w:val="24"/>
                <w:szCs w:val="24"/>
              </w:rPr>
            </w:pPr>
            <w:r w:rsidRPr="007E6F2F">
              <w:rPr>
                <w:rFonts w:ascii="Times New Roman" w:hAnsi="Times New Roman"/>
                <w:sz w:val="24"/>
                <w:szCs w:val="24"/>
              </w:rPr>
              <w:t xml:space="preserve">Teikdama paaiškinimus tiekėjams (2017-06-19 atsakymas į </w:t>
            </w:r>
            <w:r w:rsidR="00507DA5" w:rsidRPr="007E6F2F">
              <w:rPr>
                <w:rFonts w:ascii="Times New Roman" w:hAnsi="Times New Roman"/>
                <w:sz w:val="24"/>
                <w:szCs w:val="24"/>
              </w:rPr>
              <w:t>1</w:t>
            </w:r>
            <w:r w:rsidRPr="007E6F2F">
              <w:rPr>
                <w:rFonts w:ascii="Times New Roman" w:hAnsi="Times New Roman"/>
                <w:sz w:val="24"/>
                <w:szCs w:val="24"/>
              </w:rPr>
              <w:t xml:space="preserve"> klausimą (CVP IS pranešimas Nr. 5325988)), </w:t>
            </w:r>
            <w:r w:rsidR="00507DA5" w:rsidRPr="007E6F2F">
              <w:rPr>
                <w:rFonts w:ascii="Times New Roman" w:hAnsi="Times New Roman"/>
                <w:sz w:val="24"/>
                <w:szCs w:val="24"/>
              </w:rPr>
              <w:t>2017-06-21 atsakym</w:t>
            </w:r>
            <w:r w:rsidR="00D64DF7" w:rsidRPr="007E6F2F">
              <w:rPr>
                <w:rFonts w:ascii="Times New Roman" w:hAnsi="Times New Roman"/>
                <w:sz w:val="24"/>
                <w:szCs w:val="24"/>
              </w:rPr>
              <w:t>as</w:t>
            </w:r>
            <w:r w:rsidR="00507DA5" w:rsidRPr="007E6F2F">
              <w:rPr>
                <w:rFonts w:ascii="Times New Roman" w:hAnsi="Times New Roman"/>
                <w:sz w:val="24"/>
                <w:szCs w:val="24"/>
              </w:rPr>
              <w:t xml:space="preserve"> į 2 klausimą (CVP IS pranešimas Nr. 5333687) </w:t>
            </w:r>
            <w:r w:rsidRPr="007E6F2F">
              <w:rPr>
                <w:rFonts w:ascii="Times New Roman" w:hAnsi="Times New Roman"/>
                <w:sz w:val="24"/>
                <w:szCs w:val="24"/>
              </w:rPr>
              <w:t xml:space="preserve">Perkančioji organizacija </w:t>
            </w:r>
            <w:r w:rsidR="00D64DF7" w:rsidRPr="007E6F2F">
              <w:rPr>
                <w:rFonts w:ascii="Times New Roman" w:hAnsi="Times New Roman"/>
                <w:sz w:val="24"/>
                <w:szCs w:val="24"/>
              </w:rPr>
              <w:t xml:space="preserve">nepagrįstai </w:t>
            </w:r>
            <w:r w:rsidRPr="007E6F2F">
              <w:rPr>
                <w:rFonts w:ascii="Times New Roman" w:hAnsi="Times New Roman"/>
                <w:sz w:val="24"/>
                <w:szCs w:val="24"/>
              </w:rPr>
              <w:t>nurodė, kad „&lt;...&gt;</w:t>
            </w:r>
            <w:r w:rsidR="00507DA5" w:rsidRPr="007E6F2F">
              <w:rPr>
                <w:rFonts w:ascii="Times New Roman" w:hAnsi="Times New Roman"/>
                <w:sz w:val="24"/>
                <w:szCs w:val="24"/>
              </w:rPr>
              <w:t xml:space="preserve"> skelbimas apie numatomą </w:t>
            </w:r>
            <w:r w:rsidR="00D64DF7" w:rsidRPr="007E6F2F">
              <w:rPr>
                <w:rFonts w:ascii="Times New Roman" w:hAnsi="Times New Roman"/>
                <w:sz w:val="24"/>
                <w:szCs w:val="24"/>
              </w:rPr>
              <w:t xml:space="preserve">pirkimą </w:t>
            </w:r>
            <w:r w:rsidR="00507DA5" w:rsidRPr="007E6F2F">
              <w:rPr>
                <w:rFonts w:ascii="Times New Roman" w:hAnsi="Times New Roman"/>
                <w:sz w:val="24"/>
                <w:szCs w:val="24"/>
              </w:rPr>
              <w:t>buvo pateiktas Viešųjų pirkimų tarnybai, kuriam pastabų ši tarnyba neturėjo“.</w:t>
            </w:r>
          </w:p>
          <w:p w14:paraId="1F1F0DAB" w14:textId="77777777" w:rsidR="00F04D39" w:rsidRPr="00985449" w:rsidRDefault="007855F6" w:rsidP="00F563C4">
            <w:pPr>
              <w:spacing w:before="0" w:after="0"/>
              <w:rPr>
                <w:rFonts w:ascii="Times New Roman" w:hAnsi="Times New Roman"/>
                <w:sz w:val="24"/>
                <w:szCs w:val="24"/>
              </w:rPr>
            </w:pPr>
            <w:r w:rsidRPr="007E6F2F">
              <w:rPr>
                <w:rFonts w:ascii="Times New Roman" w:hAnsi="Times New Roman"/>
                <w:sz w:val="24"/>
                <w:szCs w:val="24"/>
              </w:rPr>
              <w:t xml:space="preserve">Tarnyba pažymi, kad vadovaudamasi Įstatymo 86 straipsnio 2 dalimi, Tarnyba neprivalo tikrinti supaprastintų pirkimų skelbimuose esančios informacijos atitikties Įstatymo reikalavimams. Pareiga tikrinti skelbimuose esančios informacijos atitiktį Įstatymo reikalavimams, Tarnybai nustatyta Įstatymo 23 straipsnio 3 dalyje, perkančiajai organizacijai skelbiant tik tarptautinės vertės pirkimus, tačiau vadovaudamasi Įstatymo 8² straipsnio 1 dalies 2 punktu, Tarnyba prevencijos tikslais, gali patikrinti ir supaprastinto pirkimo skelbime nurodytos informacijos atitiktį Įstatymo reikalavimams. Pažymėtina, kad </w:t>
            </w:r>
            <w:r w:rsidR="00507DA5" w:rsidRPr="007E6F2F">
              <w:rPr>
                <w:rFonts w:ascii="Times New Roman" w:hAnsi="Times New Roman"/>
                <w:sz w:val="24"/>
                <w:szCs w:val="24"/>
              </w:rPr>
              <w:t xml:space="preserve">pagal skelbimo pateikimo metu galiojusį </w:t>
            </w:r>
            <w:r w:rsidRPr="007E6F2F">
              <w:rPr>
                <w:rFonts w:ascii="Times New Roman" w:hAnsi="Times New Roman"/>
                <w:sz w:val="24"/>
                <w:szCs w:val="24"/>
              </w:rPr>
              <w:t>Skelbimų teikimo viešųjų pirkimų tarnybai tvarką ir reikalavimų skelbiamai supaprastintų vie</w:t>
            </w:r>
            <w:r w:rsidR="005922F4" w:rsidRPr="007E6F2F">
              <w:rPr>
                <w:rFonts w:ascii="Times New Roman" w:hAnsi="Times New Roman"/>
                <w:sz w:val="24"/>
                <w:szCs w:val="24"/>
              </w:rPr>
              <w:t>šųjų pirkimų informacijai aprašo</w:t>
            </w:r>
            <w:r w:rsidRPr="007E6F2F">
              <w:rPr>
                <w:rFonts w:ascii="Times New Roman" w:hAnsi="Times New Roman"/>
                <w:sz w:val="24"/>
                <w:szCs w:val="24"/>
              </w:rPr>
              <w:t xml:space="preserve"> (toliau – Aprašas)</w:t>
            </w:r>
            <w:r w:rsidR="005922F4" w:rsidRPr="007E6F2F">
              <w:rPr>
                <w:rFonts w:ascii="Times New Roman" w:hAnsi="Times New Roman"/>
                <w:sz w:val="24"/>
                <w:szCs w:val="24"/>
              </w:rPr>
              <w:t>, patvirtinto Tarnybos direktorius 2011 m. gruodžio 13 d. įsakymu Nr. 1S-184,</w:t>
            </w:r>
            <w:r w:rsidRPr="007E6F2F">
              <w:rPr>
                <w:rFonts w:ascii="Times New Roman" w:hAnsi="Times New Roman"/>
                <w:sz w:val="24"/>
                <w:szCs w:val="24"/>
              </w:rPr>
              <w:t xml:space="preserve"> 10 punkt</w:t>
            </w:r>
            <w:r w:rsidR="005922F4" w:rsidRPr="007E6F2F">
              <w:rPr>
                <w:rFonts w:ascii="Times New Roman" w:hAnsi="Times New Roman"/>
                <w:sz w:val="24"/>
                <w:szCs w:val="24"/>
              </w:rPr>
              <w:t>ą</w:t>
            </w:r>
            <w:r w:rsidRPr="007E6F2F">
              <w:rPr>
                <w:rFonts w:ascii="Times New Roman" w:hAnsi="Times New Roman"/>
                <w:sz w:val="24"/>
                <w:szCs w:val="24"/>
              </w:rPr>
              <w:t xml:space="preserve"> „Pirkimų skelbimai turi būti parengti pagal 2011 m. rugpjūčio 19 d. Komisijos reglamentu (EB) Nr. 842/2011 (OL 2011 L 222, p. 1) (toliau – Reglamentas (EB) Nr. 842/2011) patvirtintas viešųjų pirkimų skelbimų formas. &lt;...&gt;“</w:t>
            </w:r>
            <w:r w:rsidR="005922F4" w:rsidRPr="007E6F2F">
              <w:rPr>
                <w:rFonts w:ascii="Times New Roman" w:hAnsi="Times New Roman"/>
                <w:sz w:val="24"/>
                <w:szCs w:val="24"/>
              </w:rPr>
              <w:t>. Aprašo</w:t>
            </w:r>
            <w:r w:rsidRPr="007E6F2F">
              <w:rPr>
                <w:rFonts w:ascii="Times New Roman" w:hAnsi="Times New Roman"/>
                <w:sz w:val="24"/>
                <w:szCs w:val="24"/>
              </w:rPr>
              <w:t xml:space="preserve"> 16 punkte nustatyta, kad „Viešųjų pirkimų tarnyba, iki pirkimo skelbimo išsiuntimo Aprašo 3 punkte nurodytam leidiniui ir pirkimo ar supaprastinto pirkimo skelbimo paskelbimo </w:t>
            </w:r>
            <w:r w:rsidRPr="007E6F2F">
              <w:rPr>
                <w:rFonts w:ascii="Times New Roman" w:hAnsi="Times New Roman"/>
                <w:sz w:val="24"/>
                <w:szCs w:val="24"/>
              </w:rPr>
              <w:lastRenderedPageBreak/>
              <w:t>CVP IS, patikrina, ar skelbimas atitinka Reglamento (EB) Nr. 842/2011 reikalavimus ir Viešųjų pirkimų tarnybos nustatytus reikalavimus skelbiamai supaprastintų pirkimų informacijai &lt;...&gt;“, t. y. Tarnyba netikrina supaprastintų pirkimų skelbimuose nustatytų kvalifikacijos reikalavimų atitikties Įstatymo nuostatoms, nevertina jų proporcingumo Pirkimo objektui ir t. t., Tarnyba patikrina, ar skelbime apie supaprastintą Pirkimą pateikta visa pagal Reglamentą (EB) Nr. 842/2011 privaloma pateikti informacija. Pažymėtina ir tai, kad skelbimas apie pirkimą yra Pirkimo dokumentų sudėtinė dalis, o skelbime esančios informacijos perkančioji organizacija papildomai gali neteikti, jeigu perkančioji organizacija aiškindama viešai paskelbtą informaciją ją pakeičia, ji turi patikslinti ir paskelbtą informaciją, kadangi už skelbimo turinį atsako perkančioji organizacija.</w:t>
            </w:r>
          </w:p>
        </w:tc>
      </w:tr>
      <w:tr w:rsidR="007A745F" w:rsidRPr="00196CE1" w14:paraId="0850437A" w14:textId="77777777" w:rsidTr="00F04D39">
        <w:tc>
          <w:tcPr>
            <w:tcW w:w="535" w:type="dxa"/>
            <w:shd w:val="clear" w:color="auto" w:fill="auto"/>
          </w:tcPr>
          <w:p w14:paraId="3AF3F1DF" w14:textId="77777777" w:rsidR="007A745F" w:rsidRPr="00D72053" w:rsidRDefault="007A745F" w:rsidP="00946CD2">
            <w:pPr>
              <w:numPr>
                <w:ilvl w:val="0"/>
                <w:numId w:val="48"/>
              </w:numPr>
              <w:jc w:val="left"/>
              <w:rPr>
                <w:rFonts w:ascii="Times New Roman" w:hAnsi="Times New Roman"/>
                <w:sz w:val="24"/>
                <w:szCs w:val="24"/>
              </w:rPr>
            </w:pPr>
          </w:p>
        </w:tc>
        <w:tc>
          <w:tcPr>
            <w:tcW w:w="9179" w:type="dxa"/>
            <w:shd w:val="clear" w:color="auto" w:fill="auto"/>
          </w:tcPr>
          <w:p w14:paraId="3B92C304" w14:textId="77777777" w:rsidR="007A745F" w:rsidRPr="00D72053" w:rsidRDefault="007E6F2F" w:rsidP="001D433A">
            <w:pPr>
              <w:ind w:firstLine="113"/>
              <w:rPr>
                <w:rFonts w:ascii="Times New Roman" w:hAnsi="Times New Roman"/>
                <w:sz w:val="24"/>
                <w:szCs w:val="24"/>
              </w:rPr>
            </w:pPr>
            <w:r w:rsidRPr="003B4E55">
              <w:rPr>
                <w:rFonts w:ascii="Times New Roman" w:hAnsi="Times New Roman"/>
                <w:i/>
                <w:sz w:val="24"/>
                <w:szCs w:val="24"/>
              </w:rPr>
              <w:t>Įstatymo 3 straipsnio 1 dalis</w:t>
            </w:r>
            <w:r w:rsidRPr="003B4E55">
              <w:rPr>
                <w:rStyle w:val="FootnoteReference"/>
                <w:rFonts w:ascii="Times New Roman" w:hAnsi="Times New Roman"/>
                <w:i/>
                <w:sz w:val="24"/>
                <w:szCs w:val="24"/>
              </w:rPr>
              <w:footnoteReference w:id="27"/>
            </w:r>
          </w:p>
        </w:tc>
      </w:tr>
      <w:tr w:rsidR="007A745F" w:rsidRPr="00196CE1" w14:paraId="55A59CB6" w14:textId="77777777" w:rsidTr="00F04D39">
        <w:tc>
          <w:tcPr>
            <w:tcW w:w="9714" w:type="dxa"/>
            <w:gridSpan w:val="2"/>
            <w:shd w:val="clear" w:color="auto" w:fill="auto"/>
          </w:tcPr>
          <w:p w14:paraId="0A395CB1" w14:textId="77777777" w:rsidR="007A745F" w:rsidRPr="00AA614A" w:rsidRDefault="007A745F" w:rsidP="00F563C4">
            <w:pPr>
              <w:spacing w:before="0" w:after="0"/>
              <w:rPr>
                <w:rFonts w:ascii="Times New Roman" w:hAnsi="Times New Roman"/>
                <w:sz w:val="24"/>
                <w:szCs w:val="24"/>
              </w:rPr>
            </w:pPr>
            <w:r w:rsidRPr="00985449">
              <w:rPr>
                <w:rFonts w:ascii="Times New Roman" w:hAnsi="Times New Roman"/>
                <w:sz w:val="24"/>
                <w:szCs w:val="24"/>
              </w:rPr>
              <w:t>Skelbimo apie supaprastintą pirkimą I</w:t>
            </w:r>
            <w:r>
              <w:rPr>
                <w:rFonts w:ascii="Times New Roman" w:hAnsi="Times New Roman"/>
                <w:sz w:val="24"/>
                <w:szCs w:val="24"/>
              </w:rPr>
              <w:t>I.3</w:t>
            </w:r>
            <w:r w:rsidRPr="00985449">
              <w:rPr>
                <w:rFonts w:ascii="Times New Roman" w:hAnsi="Times New Roman"/>
                <w:sz w:val="24"/>
                <w:szCs w:val="24"/>
              </w:rPr>
              <w:t xml:space="preserve"> p</w:t>
            </w:r>
            <w:r>
              <w:rPr>
                <w:rFonts w:ascii="Times New Roman" w:hAnsi="Times New Roman"/>
                <w:sz w:val="24"/>
                <w:szCs w:val="24"/>
              </w:rPr>
              <w:t>unkte</w:t>
            </w:r>
            <w:r w:rsidRPr="00985449">
              <w:rPr>
                <w:rFonts w:ascii="Times New Roman" w:hAnsi="Times New Roman"/>
                <w:sz w:val="24"/>
                <w:szCs w:val="24"/>
              </w:rPr>
              <w:t xml:space="preserve"> nurodyta, kad „sutarties trukmė – </w:t>
            </w:r>
            <w:r>
              <w:rPr>
                <w:rFonts w:ascii="Times New Roman" w:hAnsi="Times New Roman"/>
                <w:sz w:val="24"/>
                <w:szCs w:val="24"/>
              </w:rPr>
              <w:t>34</w:t>
            </w:r>
            <w:r w:rsidRPr="00985449">
              <w:rPr>
                <w:rFonts w:ascii="Times New Roman" w:hAnsi="Times New Roman"/>
                <w:sz w:val="24"/>
                <w:szCs w:val="24"/>
              </w:rPr>
              <w:t xml:space="preserve"> mėn.</w:t>
            </w:r>
            <w:r>
              <w:rPr>
                <w:rFonts w:ascii="Times New Roman" w:hAnsi="Times New Roman"/>
                <w:sz w:val="24"/>
                <w:szCs w:val="24"/>
              </w:rPr>
              <w:t xml:space="preserve"> po sutarties sudarymo“. Tačiau Pirkimo sąlygų priedo Nr. 5 „Paslaugų viešojo pirkimo-pardavimo sutarties projektas“ 2.1 punkte numatyta, kad „</w:t>
            </w:r>
            <w:r w:rsidRPr="007A745F">
              <w:rPr>
                <w:rFonts w:ascii="Times New Roman" w:hAnsi="Times New Roman"/>
                <w:sz w:val="24"/>
                <w:szCs w:val="24"/>
              </w:rPr>
              <w:t>Paslaugos turi būti suteiktos ne ilgiau kaip per 30 (trisdešimt) mėnesių nuo Sutarties įsigaliojimo</w:t>
            </w:r>
            <w:r>
              <w:rPr>
                <w:rFonts w:ascii="Times New Roman" w:hAnsi="Times New Roman"/>
                <w:sz w:val="24"/>
                <w:szCs w:val="24"/>
              </w:rPr>
              <w:t>“, 2.2 punkte nurodyta, kad „</w:t>
            </w:r>
            <w:r w:rsidRPr="007A745F">
              <w:rPr>
                <w:rFonts w:ascii="Times New Roman" w:hAnsi="Times New Roman"/>
                <w:sz w:val="24"/>
                <w:szCs w:val="24"/>
              </w:rPr>
              <w:t xml:space="preserve">Paslaugų teikimas gali būti pratęsiamas Šalių susitarimu, bet ne </w:t>
            </w:r>
            <w:r>
              <w:rPr>
                <w:rFonts w:ascii="Times New Roman" w:hAnsi="Times New Roman"/>
                <w:sz w:val="24"/>
                <w:szCs w:val="24"/>
              </w:rPr>
              <w:t>daugiau nei 2 (dviem) mėnesiams“, o pagal 2.4 punktą: „</w:t>
            </w:r>
            <w:r w:rsidRPr="007A745F">
              <w:rPr>
                <w:rFonts w:ascii="Times New Roman" w:hAnsi="Times New Roman"/>
                <w:sz w:val="24"/>
                <w:szCs w:val="24"/>
              </w:rPr>
              <w:t>Sutartis galioja iki visiško Sutarties įsipareigojimų įvykdymo</w:t>
            </w:r>
            <w:r>
              <w:rPr>
                <w:rFonts w:ascii="Times New Roman" w:hAnsi="Times New Roman"/>
                <w:sz w:val="24"/>
                <w:szCs w:val="24"/>
              </w:rPr>
              <w:t>“.</w:t>
            </w:r>
          </w:p>
        </w:tc>
      </w:tr>
      <w:tr w:rsidR="00E97721" w:rsidRPr="00196CE1" w14:paraId="53E007F4" w14:textId="77777777" w:rsidTr="00F04D39">
        <w:tc>
          <w:tcPr>
            <w:tcW w:w="535" w:type="dxa"/>
            <w:shd w:val="clear" w:color="auto" w:fill="auto"/>
          </w:tcPr>
          <w:p w14:paraId="4D79C49D" w14:textId="77777777" w:rsidR="00E97721" w:rsidRPr="00D72053" w:rsidRDefault="00E97721" w:rsidP="00946CD2">
            <w:pPr>
              <w:numPr>
                <w:ilvl w:val="0"/>
                <w:numId w:val="48"/>
              </w:numPr>
              <w:jc w:val="left"/>
              <w:rPr>
                <w:rFonts w:ascii="Times New Roman" w:hAnsi="Times New Roman"/>
                <w:sz w:val="24"/>
                <w:szCs w:val="24"/>
              </w:rPr>
            </w:pPr>
          </w:p>
        </w:tc>
        <w:tc>
          <w:tcPr>
            <w:tcW w:w="9179" w:type="dxa"/>
            <w:shd w:val="clear" w:color="auto" w:fill="auto"/>
          </w:tcPr>
          <w:p w14:paraId="53789459" w14:textId="77777777" w:rsidR="00E97721" w:rsidRPr="00D72053" w:rsidRDefault="00E97721" w:rsidP="001D433A">
            <w:pPr>
              <w:ind w:firstLine="113"/>
              <w:rPr>
                <w:rFonts w:ascii="Times New Roman" w:hAnsi="Times New Roman"/>
                <w:sz w:val="24"/>
                <w:szCs w:val="24"/>
              </w:rPr>
            </w:pPr>
            <w:r>
              <w:rPr>
                <w:rFonts w:ascii="Times New Roman" w:hAnsi="Times New Roman"/>
                <w:i/>
                <w:sz w:val="24"/>
                <w:szCs w:val="24"/>
              </w:rPr>
              <w:t>–</w:t>
            </w:r>
          </w:p>
        </w:tc>
      </w:tr>
      <w:tr w:rsidR="00E97721" w:rsidRPr="00196CE1" w14:paraId="4960F28E" w14:textId="77777777" w:rsidTr="00F04D39">
        <w:tc>
          <w:tcPr>
            <w:tcW w:w="9714" w:type="dxa"/>
            <w:gridSpan w:val="2"/>
            <w:shd w:val="clear" w:color="auto" w:fill="auto"/>
          </w:tcPr>
          <w:p w14:paraId="549DEB83" w14:textId="77777777" w:rsidR="00E97721" w:rsidRPr="00985449" w:rsidRDefault="007D5541" w:rsidP="00F563C4">
            <w:pPr>
              <w:spacing w:before="0" w:after="0"/>
              <w:rPr>
                <w:rFonts w:ascii="Times New Roman" w:hAnsi="Times New Roman"/>
                <w:sz w:val="24"/>
                <w:szCs w:val="24"/>
              </w:rPr>
            </w:pPr>
            <w:r>
              <w:rPr>
                <w:rFonts w:ascii="Times New Roman" w:hAnsi="Times New Roman"/>
                <w:sz w:val="24"/>
                <w:szCs w:val="24"/>
              </w:rPr>
              <w:t>Pirkimo dokumentuose nesant aiškios nuostatos dėl sutarties trukmės, neaiškus ir s</w:t>
            </w:r>
            <w:r w:rsidRPr="007D5541">
              <w:rPr>
                <w:rFonts w:ascii="Times New Roman" w:hAnsi="Times New Roman"/>
                <w:sz w:val="24"/>
                <w:szCs w:val="24"/>
              </w:rPr>
              <w:t>utarties įvykdymo užtikrinim</w:t>
            </w:r>
            <w:r>
              <w:rPr>
                <w:rFonts w:ascii="Times New Roman" w:hAnsi="Times New Roman"/>
                <w:sz w:val="24"/>
                <w:szCs w:val="24"/>
              </w:rPr>
              <w:t>o</w:t>
            </w:r>
            <w:r w:rsidRPr="007D5541">
              <w:rPr>
                <w:rFonts w:ascii="Times New Roman" w:hAnsi="Times New Roman"/>
                <w:sz w:val="24"/>
                <w:szCs w:val="24"/>
              </w:rPr>
              <w:t xml:space="preserve"> </w:t>
            </w:r>
            <w:r>
              <w:rPr>
                <w:rFonts w:ascii="Times New Roman" w:hAnsi="Times New Roman"/>
                <w:sz w:val="24"/>
                <w:szCs w:val="24"/>
              </w:rPr>
              <w:t xml:space="preserve">terminas – Pirkimo sąlygų priedo Nr. 5 „Paslaugų viešojo pirkimo-pardavimo sutarties projektas“ 3 punkte numatyta, kad </w:t>
            </w:r>
            <w:r w:rsidR="00D64DF7">
              <w:rPr>
                <w:rFonts w:ascii="Times New Roman" w:hAnsi="Times New Roman"/>
                <w:sz w:val="24"/>
                <w:szCs w:val="24"/>
              </w:rPr>
              <w:t>s</w:t>
            </w:r>
            <w:r w:rsidR="00D64DF7" w:rsidRPr="007D5541">
              <w:rPr>
                <w:rFonts w:ascii="Times New Roman" w:hAnsi="Times New Roman"/>
                <w:sz w:val="24"/>
                <w:szCs w:val="24"/>
              </w:rPr>
              <w:t>utarties įvykdymo užtikrinim</w:t>
            </w:r>
            <w:r w:rsidR="00D64DF7">
              <w:rPr>
                <w:rFonts w:ascii="Times New Roman" w:hAnsi="Times New Roman"/>
                <w:sz w:val="24"/>
                <w:szCs w:val="24"/>
              </w:rPr>
              <w:t>as</w:t>
            </w:r>
            <w:r w:rsidR="00D64DF7" w:rsidRPr="007D5541">
              <w:rPr>
                <w:rFonts w:ascii="Times New Roman" w:hAnsi="Times New Roman"/>
                <w:sz w:val="24"/>
                <w:szCs w:val="24"/>
              </w:rPr>
              <w:t xml:space="preserve"> </w:t>
            </w:r>
            <w:r>
              <w:rPr>
                <w:rFonts w:ascii="Times New Roman" w:hAnsi="Times New Roman"/>
                <w:sz w:val="24"/>
                <w:szCs w:val="24"/>
              </w:rPr>
              <w:t xml:space="preserve">„&lt;...&gt; </w:t>
            </w:r>
            <w:r w:rsidRPr="007D5541">
              <w:rPr>
                <w:rFonts w:ascii="Times New Roman" w:hAnsi="Times New Roman"/>
                <w:sz w:val="24"/>
                <w:szCs w:val="24"/>
              </w:rPr>
              <w:t>galioja ne trumpiau kaip 2 (du) mėnesius po Sutartyje numatyto Paslaugų suteikimo termino pabaigos, t. y. per visą Sutarties vykdymo laikotarpį. Tuo atveju, kai Sutarties (Paslaugų) terminas yra pratęsiamas, kartu turi būti atitinkamai pratęstas ir Lietuvos Respublikoje ar užsienyje registruoto banko ar kredito unijos garantijos ar Lietuvos Respublikoje ar užsienyje registruotos draudimo bendrovės laidavimo draudimo liudijimo galiojimo terminas</w:t>
            </w:r>
            <w:r w:rsidR="00D64DF7">
              <w:rPr>
                <w:rFonts w:ascii="Times New Roman" w:hAnsi="Times New Roman"/>
                <w:sz w:val="24"/>
                <w:szCs w:val="24"/>
              </w:rPr>
              <w:t>“</w:t>
            </w:r>
            <w:r w:rsidRPr="007D5541">
              <w:rPr>
                <w:rFonts w:ascii="Times New Roman" w:hAnsi="Times New Roman"/>
                <w:sz w:val="24"/>
                <w:szCs w:val="24"/>
              </w:rPr>
              <w:t>.</w:t>
            </w:r>
          </w:p>
        </w:tc>
      </w:tr>
      <w:tr w:rsidR="00036FA6" w:rsidRPr="00196CE1" w14:paraId="465E510A" w14:textId="77777777" w:rsidTr="00F04D39">
        <w:tc>
          <w:tcPr>
            <w:tcW w:w="535" w:type="dxa"/>
            <w:shd w:val="clear" w:color="auto" w:fill="auto"/>
          </w:tcPr>
          <w:p w14:paraId="274615FE" w14:textId="77777777" w:rsidR="00036FA6" w:rsidRPr="00D72053" w:rsidRDefault="00036FA6" w:rsidP="00946CD2">
            <w:pPr>
              <w:numPr>
                <w:ilvl w:val="0"/>
                <w:numId w:val="48"/>
              </w:numPr>
              <w:jc w:val="left"/>
              <w:rPr>
                <w:rFonts w:ascii="Times New Roman" w:hAnsi="Times New Roman"/>
                <w:sz w:val="24"/>
                <w:szCs w:val="24"/>
              </w:rPr>
            </w:pPr>
          </w:p>
        </w:tc>
        <w:tc>
          <w:tcPr>
            <w:tcW w:w="9179" w:type="dxa"/>
            <w:shd w:val="clear" w:color="auto" w:fill="auto"/>
          </w:tcPr>
          <w:p w14:paraId="46C67409" w14:textId="77777777" w:rsidR="00036FA6" w:rsidRPr="00D72053" w:rsidRDefault="00036FA6" w:rsidP="001D433A">
            <w:pPr>
              <w:ind w:firstLine="113"/>
              <w:rPr>
                <w:rFonts w:ascii="Times New Roman" w:hAnsi="Times New Roman"/>
                <w:sz w:val="24"/>
                <w:szCs w:val="24"/>
              </w:rPr>
            </w:pPr>
            <w:r>
              <w:rPr>
                <w:rFonts w:ascii="Times New Roman" w:hAnsi="Times New Roman"/>
                <w:i/>
                <w:sz w:val="24"/>
                <w:szCs w:val="24"/>
              </w:rPr>
              <w:t>–</w:t>
            </w:r>
          </w:p>
        </w:tc>
      </w:tr>
      <w:tr w:rsidR="00036FA6" w:rsidRPr="00196CE1" w14:paraId="61D31CB6" w14:textId="77777777" w:rsidTr="00F04D39">
        <w:tc>
          <w:tcPr>
            <w:tcW w:w="9714" w:type="dxa"/>
            <w:gridSpan w:val="2"/>
            <w:shd w:val="clear" w:color="auto" w:fill="auto"/>
          </w:tcPr>
          <w:p w14:paraId="2B57C952" w14:textId="77777777" w:rsidR="00036FA6" w:rsidRPr="00982C6D" w:rsidRDefault="00036FA6" w:rsidP="000D0AC2">
            <w:pPr>
              <w:spacing w:before="0" w:after="0"/>
              <w:rPr>
                <w:rFonts w:ascii="Times New Roman" w:hAnsi="Times New Roman"/>
                <w:sz w:val="24"/>
                <w:szCs w:val="24"/>
              </w:rPr>
            </w:pPr>
            <w:r w:rsidRPr="00982C6D">
              <w:rPr>
                <w:rFonts w:ascii="Times New Roman" w:hAnsi="Times New Roman"/>
                <w:sz w:val="24"/>
                <w:szCs w:val="24"/>
              </w:rPr>
              <w:t xml:space="preserve">Pirkimo sąlygų </w:t>
            </w:r>
            <w:r>
              <w:rPr>
                <w:rFonts w:ascii="Times New Roman" w:hAnsi="Times New Roman"/>
                <w:sz w:val="24"/>
                <w:szCs w:val="24"/>
              </w:rPr>
              <w:t>priedo Nr. 5 „Paslaugų viešojo pirkimo-pardavimo sutarties projektas“ 5.2 punkte nurodyta, kad „</w:t>
            </w:r>
            <w:r w:rsidRPr="00036FA6">
              <w:rPr>
                <w:rFonts w:ascii="Times New Roman" w:hAnsi="Times New Roman"/>
                <w:sz w:val="24"/>
                <w:szCs w:val="24"/>
              </w:rPr>
              <w:t>Teikėjas užtikrina savalaikį Paslaugų teikimą. Jei Teikėjas dėl savo kaltės neatlieka Paslaugų nustatytu terminu, Pirkėjas turi teisę be oficialaus įspėjimo ir nesumažindamas kitų savo teisių gynimo būdų, pradėti skaičiuoti 0,03 proc. (trijų šimtųjų procento) dydžio delspinigius už kiekvieną uždelstą dieną, skaičiuojant nuo nustatyto Paslaugų atlikimo termino pabaigos iki dienos, kai atitinkamos Paslaugos buvo faktiškai suteiktos, neviršijant 10 proc. (dešimt procentų) bendros Sutarties kainos. Priskaičiuotus delspinigius Pirkėjo pareikalavimu Teik</w:t>
            </w:r>
            <w:r>
              <w:rPr>
                <w:rFonts w:ascii="Times New Roman" w:hAnsi="Times New Roman"/>
                <w:sz w:val="24"/>
                <w:szCs w:val="24"/>
              </w:rPr>
              <w:t>ėjas privalo sumokėti Pirkėjui“, tačiau iš šios nuostatos neaišku, nuo kokios sumos gali būti skaičiuojami</w:t>
            </w:r>
            <w:r w:rsidRPr="00036FA6">
              <w:rPr>
                <w:rFonts w:ascii="Times New Roman" w:hAnsi="Times New Roman"/>
                <w:sz w:val="24"/>
                <w:szCs w:val="24"/>
              </w:rPr>
              <w:t xml:space="preserve"> </w:t>
            </w:r>
            <w:r>
              <w:rPr>
                <w:rFonts w:ascii="Times New Roman" w:hAnsi="Times New Roman"/>
                <w:sz w:val="24"/>
                <w:szCs w:val="24"/>
              </w:rPr>
              <w:t xml:space="preserve">minėti </w:t>
            </w:r>
            <w:r w:rsidRPr="00036FA6">
              <w:rPr>
                <w:rFonts w:ascii="Times New Roman" w:hAnsi="Times New Roman"/>
                <w:sz w:val="24"/>
                <w:szCs w:val="24"/>
              </w:rPr>
              <w:t>0,03 proc. dydžio delspinigi</w:t>
            </w:r>
            <w:r>
              <w:rPr>
                <w:rFonts w:ascii="Times New Roman" w:hAnsi="Times New Roman"/>
                <w:sz w:val="24"/>
                <w:szCs w:val="24"/>
              </w:rPr>
              <w:t>ai.</w:t>
            </w:r>
            <w:r w:rsidRPr="00982C6D">
              <w:rPr>
                <w:rFonts w:ascii="Times New Roman" w:hAnsi="Times New Roman"/>
                <w:sz w:val="24"/>
                <w:szCs w:val="24"/>
              </w:rPr>
              <w:t xml:space="preserve"> </w:t>
            </w:r>
          </w:p>
        </w:tc>
      </w:tr>
      <w:tr w:rsidR="00C70581" w:rsidRPr="00AA614A" w14:paraId="3357FEA8" w14:textId="77777777" w:rsidTr="00F04D39">
        <w:tc>
          <w:tcPr>
            <w:tcW w:w="535" w:type="dxa"/>
            <w:shd w:val="clear" w:color="auto" w:fill="auto"/>
          </w:tcPr>
          <w:p w14:paraId="7B016EB8" w14:textId="77777777" w:rsidR="00C70581" w:rsidRPr="00D72053" w:rsidRDefault="00C70581" w:rsidP="00946CD2">
            <w:pPr>
              <w:numPr>
                <w:ilvl w:val="0"/>
                <w:numId w:val="48"/>
              </w:numPr>
              <w:jc w:val="left"/>
              <w:rPr>
                <w:rFonts w:ascii="Times New Roman" w:hAnsi="Times New Roman"/>
                <w:sz w:val="24"/>
                <w:szCs w:val="24"/>
              </w:rPr>
            </w:pPr>
          </w:p>
        </w:tc>
        <w:tc>
          <w:tcPr>
            <w:tcW w:w="9179" w:type="dxa"/>
            <w:shd w:val="clear" w:color="auto" w:fill="auto"/>
          </w:tcPr>
          <w:p w14:paraId="01018BAC" w14:textId="77777777" w:rsidR="00C70581" w:rsidRPr="00AA614A" w:rsidRDefault="00C70581" w:rsidP="001D433A">
            <w:pPr>
              <w:ind w:firstLine="113"/>
              <w:rPr>
                <w:rFonts w:ascii="Times New Roman" w:hAnsi="Times New Roman"/>
                <w:sz w:val="24"/>
                <w:szCs w:val="24"/>
              </w:rPr>
            </w:pPr>
            <w:r>
              <w:rPr>
                <w:rFonts w:ascii="Times New Roman" w:hAnsi="Times New Roman"/>
                <w:i/>
                <w:sz w:val="24"/>
                <w:szCs w:val="24"/>
              </w:rPr>
              <w:t>Taisyklių 75 punktas</w:t>
            </w:r>
            <w:r w:rsidRPr="00AA614A">
              <w:rPr>
                <w:rFonts w:ascii="Times New Roman" w:hAnsi="Times New Roman"/>
                <w:i/>
                <w:sz w:val="24"/>
                <w:szCs w:val="24"/>
                <w:vertAlign w:val="superscript"/>
              </w:rPr>
              <w:footnoteReference w:id="28"/>
            </w:r>
            <w:r>
              <w:rPr>
                <w:rFonts w:ascii="Times New Roman" w:hAnsi="Times New Roman"/>
                <w:i/>
                <w:sz w:val="24"/>
                <w:szCs w:val="24"/>
              </w:rPr>
              <w:t xml:space="preserve">, </w:t>
            </w:r>
            <w:r w:rsidRPr="00AA614A">
              <w:rPr>
                <w:rFonts w:ascii="Times New Roman" w:hAnsi="Times New Roman"/>
                <w:i/>
                <w:sz w:val="24"/>
                <w:szCs w:val="24"/>
              </w:rPr>
              <w:t xml:space="preserve">Įstatymo </w:t>
            </w:r>
            <w:r>
              <w:rPr>
                <w:rFonts w:ascii="Times New Roman" w:hAnsi="Times New Roman"/>
                <w:i/>
                <w:sz w:val="24"/>
                <w:szCs w:val="24"/>
              </w:rPr>
              <w:t>18</w:t>
            </w:r>
            <w:r w:rsidRPr="00AA614A">
              <w:rPr>
                <w:rFonts w:ascii="Times New Roman" w:hAnsi="Times New Roman"/>
                <w:i/>
                <w:sz w:val="24"/>
                <w:szCs w:val="24"/>
              </w:rPr>
              <w:t xml:space="preserve"> straipsnio </w:t>
            </w:r>
            <w:r>
              <w:rPr>
                <w:rFonts w:ascii="Times New Roman" w:hAnsi="Times New Roman"/>
                <w:i/>
                <w:sz w:val="24"/>
                <w:szCs w:val="24"/>
              </w:rPr>
              <w:t>6</w:t>
            </w:r>
            <w:r w:rsidRPr="00AA614A">
              <w:rPr>
                <w:rFonts w:ascii="Times New Roman" w:hAnsi="Times New Roman"/>
                <w:i/>
                <w:sz w:val="24"/>
                <w:szCs w:val="24"/>
              </w:rPr>
              <w:t xml:space="preserve"> dali</w:t>
            </w:r>
            <w:r>
              <w:rPr>
                <w:rFonts w:ascii="Times New Roman" w:hAnsi="Times New Roman"/>
                <w:i/>
                <w:sz w:val="24"/>
                <w:szCs w:val="24"/>
              </w:rPr>
              <w:t>e</w:t>
            </w:r>
            <w:r w:rsidRPr="00AA614A">
              <w:rPr>
                <w:rFonts w:ascii="Times New Roman" w:hAnsi="Times New Roman"/>
                <w:i/>
                <w:sz w:val="24"/>
                <w:szCs w:val="24"/>
              </w:rPr>
              <w:t>s</w:t>
            </w:r>
            <w:r>
              <w:rPr>
                <w:rFonts w:ascii="Times New Roman" w:hAnsi="Times New Roman"/>
                <w:i/>
                <w:sz w:val="24"/>
                <w:szCs w:val="24"/>
              </w:rPr>
              <w:t xml:space="preserve"> 6 punktas</w:t>
            </w:r>
            <w:r w:rsidRPr="00AA614A">
              <w:rPr>
                <w:rFonts w:ascii="Times New Roman" w:hAnsi="Times New Roman"/>
                <w:i/>
                <w:sz w:val="24"/>
                <w:szCs w:val="24"/>
                <w:vertAlign w:val="superscript"/>
              </w:rPr>
              <w:footnoteReference w:id="29"/>
            </w:r>
            <w:r w:rsidRPr="00AA614A">
              <w:rPr>
                <w:rFonts w:ascii="Times New Roman" w:hAnsi="Times New Roman"/>
                <w:i/>
                <w:sz w:val="24"/>
                <w:szCs w:val="24"/>
              </w:rPr>
              <w:t xml:space="preserve"> </w:t>
            </w:r>
          </w:p>
        </w:tc>
      </w:tr>
      <w:tr w:rsidR="00C70581" w:rsidRPr="00196CE1" w14:paraId="63261F36" w14:textId="77777777" w:rsidTr="00F04D39">
        <w:tc>
          <w:tcPr>
            <w:tcW w:w="9714" w:type="dxa"/>
            <w:gridSpan w:val="2"/>
            <w:shd w:val="clear" w:color="auto" w:fill="auto"/>
          </w:tcPr>
          <w:p w14:paraId="51D13D36" w14:textId="77777777" w:rsidR="00C70581" w:rsidRPr="00513472" w:rsidRDefault="00C70581" w:rsidP="00C70581">
            <w:pPr>
              <w:spacing w:before="0" w:after="0"/>
              <w:rPr>
                <w:rFonts w:ascii="Times New Roman" w:hAnsi="Times New Roman"/>
                <w:sz w:val="24"/>
                <w:szCs w:val="24"/>
              </w:rPr>
            </w:pPr>
            <w:r w:rsidRPr="00982C6D">
              <w:rPr>
                <w:rFonts w:ascii="Times New Roman" w:hAnsi="Times New Roman"/>
                <w:sz w:val="24"/>
                <w:szCs w:val="24"/>
              </w:rPr>
              <w:t xml:space="preserve">Pirkimo sąlygų </w:t>
            </w:r>
            <w:r>
              <w:rPr>
                <w:rFonts w:ascii="Times New Roman" w:hAnsi="Times New Roman"/>
                <w:sz w:val="24"/>
                <w:szCs w:val="24"/>
              </w:rPr>
              <w:t xml:space="preserve">priedo Nr. 5 „Paslaugų viešojo pirkimo-pardavimo sutarties projektas“ 13.2 </w:t>
            </w:r>
            <w:r w:rsidRPr="00513472">
              <w:rPr>
                <w:rFonts w:ascii="Times New Roman" w:hAnsi="Times New Roman"/>
                <w:sz w:val="24"/>
                <w:szCs w:val="24"/>
              </w:rPr>
              <w:t>punkte nustatyta sąlyga, kad „</w:t>
            </w:r>
            <w:r w:rsidRPr="00C70581">
              <w:rPr>
                <w:rFonts w:ascii="Times New Roman" w:hAnsi="Times New Roman"/>
                <w:sz w:val="24"/>
                <w:szCs w:val="24"/>
              </w:rPr>
              <w:t>Sutarties įvykdymo užtikrinimu garantuojama, kad Pirkėjui bus atlyginti nuostoliai, atsiradę Teikėjui dėl jo kaltės pažeidus Sutartį</w:t>
            </w:r>
            <w:r w:rsidRPr="00513472">
              <w:rPr>
                <w:rFonts w:ascii="Times New Roman" w:hAnsi="Times New Roman"/>
                <w:sz w:val="24"/>
                <w:szCs w:val="24"/>
              </w:rPr>
              <w:t xml:space="preserve">“ neužtikrina </w:t>
            </w:r>
            <w:r w:rsidRPr="00C70581">
              <w:rPr>
                <w:rFonts w:ascii="Times New Roman" w:hAnsi="Times New Roman"/>
                <w:sz w:val="24"/>
                <w:szCs w:val="24"/>
              </w:rPr>
              <w:t>Įstatymo 18 straipsnio 6 dalies 6 punkt</w:t>
            </w:r>
            <w:r>
              <w:rPr>
                <w:rFonts w:ascii="Times New Roman" w:hAnsi="Times New Roman"/>
                <w:sz w:val="24"/>
                <w:szCs w:val="24"/>
              </w:rPr>
              <w:t>o</w:t>
            </w:r>
            <w:r w:rsidRPr="00C70581">
              <w:rPr>
                <w:rFonts w:ascii="Times New Roman" w:hAnsi="Times New Roman"/>
                <w:sz w:val="24"/>
                <w:szCs w:val="24"/>
              </w:rPr>
              <w:t xml:space="preserve"> </w:t>
            </w:r>
            <w:r w:rsidRPr="00513472">
              <w:rPr>
                <w:rFonts w:ascii="Times New Roman" w:hAnsi="Times New Roman"/>
                <w:sz w:val="24"/>
                <w:szCs w:val="24"/>
              </w:rPr>
              <w:t>nuostatos</w:t>
            </w:r>
            <w:r w:rsidRPr="00513472">
              <w:rPr>
                <w:rFonts w:ascii="Times New Roman" w:hAnsi="Times New Roman"/>
                <w:i/>
                <w:iCs/>
                <w:sz w:val="24"/>
                <w:szCs w:val="24"/>
              </w:rPr>
              <w:t xml:space="preserve">, </w:t>
            </w:r>
            <w:r w:rsidRPr="00513472">
              <w:rPr>
                <w:rFonts w:ascii="Times New Roman" w:hAnsi="Times New Roman"/>
                <w:iCs/>
                <w:sz w:val="24"/>
                <w:szCs w:val="24"/>
              </w:rPr>
              <w:t>kad „</w:t>
            </w:r>
            <w:r w:rsidRPr="00C70581">
              <w:rPr>
                <w:rFonts w:ascii="Times New Roman" w:hAnsi="Times New Roman"/>
                <w:iCs/>
                <w:sz w:val="24"/>
                <w:szCs w:val="24"/>
              </w:rPr>
              <w:t>Pirkimo sutartyje, kai ji sudaroma raštu, turi būti nustatyta: prievolių įvykdymo užtikrinimas</w:t>
            </w:r>
            <w:r w:rsidRPr="00513472">
              <w:rPr>
                <w:rFonts w:ascii="Times New Roman" w:hAnsi="Times New Roman"/>
                <w:iCs/>
                <w:sz w:val="24"/>
                <w:szCs w:val="24"/>
              </w:rPr>
              <w:t>“</w:t>
            </w:r>
            <w:r w:rsidRPr="00513472">
              <w:rPr>
                <w:rFonts w:ascii="Times New Roman" w:hAnsi="Times New Roman"/>
                <w:sz w:val="24"/>
                <w:szCs w:val="24"/>
              </w:rPr>
              <w:t xml:space="preserve"> tinkamo taikymo. Tarnyba paaiškina, kad minėtoje nuostatoje nurodyta, kad sutarties įvykdymo užtikrinimu galimai bus garantuojamas tik nuostolių atlyginimas, todėl esant situacijai, kai tiekėjas nevykdys savo sutartinių įsipareigojimų, tačiau Perkančioji organizacija dėl to nepatirs nuostolių arba jų negalės įrodyti, ji sutarties įvykdymo </w:t>
            </w:r>
            <w:r w:rsidRPr="00513472">
              <w:rPr>
                <w:rFonts w:ascii="Times New Roman" w:hAnsi="Times New Roman"/>
                <w:sz w:val="24"/>
                <w:szCs w:val="24"/>
              </w:rPr>
              <w:lastRenderedPageBreak/>
              <w:t>užtikrinimu negalės pasinaudoti, nors tiekėjas ir pažeistų esmines sutarties nuostatas. Pažymėtina, kad prievolių užtikrinimo būdais laikomos specialios priemonės, garantuojančios pagrindinės prievolės įvykdymą ir skatinančios skolininką tinkamai vykdyti savo prievolę.</w:t>
            </w:r>
          </w:p>
        </w:tc>
      </w:tr>
      <w:tr w:rsidR="00C70581" w:rsidRPr="00AA614A" w14:paraId="1D9741B5" w14:textId="77777777" w:rsidTr="00F04D39">
        <w:tc>
          <w:tcPr>
            <w:tcW w:w="535" w:type="dxa"/>
            <w:shd w:val="clear" w:color="auto" w:fill="auto"/>
          </w:tcPr>
          <w:p w14:paraId="48885400" w14:textId="77777777" w:rsidR="00C70581" w:rsidRPr="00D72053" w:rsidRDefault="00C70581" w:rsidP="00946CD2">
            <w:pPr>
              <w:numPr>
                <w:ilvl w:val="0"/>
                <w:numId w:val="48"/>
              </w:numPr>
              <w:jc w:val="left"/>
              <w:rPr>
                <w:rFonts w:ascii="Times New Roman" w:hAnsi="Times New Roman"/>
                <w:sz w:val="24"/>
                <w:szCs w:val="24"/>
              </w:rPr>
            </w:pPr>
          </w:p>
        </w:tc>
        <w:tc>
          <w:tcPr>
            <w:tcW w:w="9179" w:type="dxa"/>
            <w:shd w:val="clear" w:color="auto" w:fill="auto"/>
          </w:tcPr>
          <w:p w14:paraId="310B67BB" w14:textId="77777777" w:rsidR="00C70581" w:rsidRPr="00AA614A" w:rsidRDefault="00C70581" w:rsidP="001D433A">
            <w:pPr>
              <w:ind w:firstLine="113"/>
              <w:rPr>
                <w:rFonts w:ascii="Times New Roman" w:hAnsi="Times New Roman"/>
                <w:sz w:val="24"/>
                <w:szCs w:val="24"/>
              </w:rPr>
            </w:pPr>
            <w:r>
              <w:rPr>
                <w:rFonts w:ascii="Times New Roman" w:hAnsi="Times New Roman"/>
                <w:i/>
                <w:sz w:val="24"/>
                <w:szCs w:val="24"/>
              </w:rPr>
              <w:t>Taisyklių 75 punktas</w:t>
            </w:r>
            <w:r w:rsidRPr="00AA614A">
              <w:rPr>
                <w:rFonts w:ascii="Times New Roman" w:hAnsi="Times New Roman"/>
                <w:i/>
                <w:sz w:val="24"/>
                <w:szCs w:val="24"/>
                <w:vertAlign w:val="superscript"/>
              </w:rPr>
              <w:footnoteReference w:id="30"/>
            </w:r>
            <w:r>
              <w:rPr>
                <w:rFonts w:ascii="Times New Roman" w:hAnsi="Times New Roman"/>
                <w:i/>
                <w:sz w:val="24"/>
                <w:szCs w:val="24"/>
              </w:rPr>
              <w:t xml:space="preserve">, </w:t>
            </w:r>
            <w:r w:rsidRPr="00AA614A">
              <w:rPr>
                <w:rFonts w:ascii="Times New Roman" w:hAnsi="Times New Roman"/>
                <w:i/>
                <w:sz w:val="24"/>
                <w:szCs w:val="24"/>
              </w:rPr>
              <w:t xml:space="preserve">Įstatymo </w:t>
            </w:r>
            <w:r w:rsidR="00A67C3E" w:rsidRPr="00A54CF0">
              <w:rPr>
                <w:rFonts w:ascii="Times New Roman" w:hAnsi="Times New Roman"/>
                <w:i/>
                <w:sz w:val="24"/>
                <w:szCs w:val="24"/>
              </w:rPr>
              <w:t>18 straipsnio 6 dalies 11 punktas</w:t>
            </w:r>
            <w:r w:rsidR="00A67C3E" w:rsidRPr="00A54CF0">
              <w:rPr>
                <w:rStyle w:val="FootnoteReference"/>
                <w:rFonts w:ascii="Times New Roman" w:hAnsi="Times New Roman"/>
                <w:i/>
                <w:sz w:val="24"/>
                <w:szCs w:val="24"/>
              </w:rPr>
              <w:footnoteReference w:id="31"/>
            </w:r>
            <w:r w:rsidRPr="00AA614A">
              <w:rPr>
                <w:rFonts w:ascii="Times New Roman" w:hAnsi="Times New Roman"/>
                <w:i/>
                <w:sz w:val="24"/>
                <w:szCs w:val="24"/>
              </w:rPr>
              <w:t xml:space="preserve"> </w:t>
            </w:r>
          </w:p>
        </w:tc>
      </w:tr>
      <w:tr w:rsidR="00C70581" w:rsidRPr="00196CE1" w14:paraId="4C446390" w14:textId="77777777" w:rsidTr="00F04D39">
        <w:tc>
          <w:tcPr>
            <w:tcW w:w="9714" w:type="dxa"/>
            <w:gridSpan w:val="2"/>
            <w:shd w:val="clear" w:color="auto" w:fill="auto"/>
          </w:tcPr>
          <w:p w14:paraId="4EC08F40" w14:textId="77777777" w:rsidR="00C70581" w:rsidRPr="00982C6D" w:rsidRDefault="00A67C3E" w:rsidP="00C70581">
            <w:pPr>
              <w:spacing w:before="0" w:after="0"/>
              <w:rPr>
                <w:rFonts w:ascii="Times New Roman" w:hAnsi="Times New Roman"/>
                <w:sz w:val="24"/>
                <w:szCs w:val="24"/>
              </w:rPr>
            </w:pPr>
            <w:r w:rsidRPr="00A54CF0">
              <w:rPr>
                <w:rFonts w:ascii="Times New Roman" w:hAnsi="Times New Roman"/>
                <w:sz w:val="24"/>
                <w:szCs w:val="24"/>
              </w:rPr>
              <w:t>Sutartyje nenumatyta subrangovų, subtiekėjų ar subteikėjų keitimo tvarka, kaip to reikalaujama Įstatymo 18 straipsnio 6 dalies 11 punkte.</w:t>
            </w:r>
          </w:p>
        </w:tc>
      </w:tr>
    </w:tbl>
    <w:p w14:paraId="76AC78EE" w14:textId="77777777" w:rsidR="002772B6" w:rsidRPr="00196CE1" w:rsidRDefault="002772B6" w:rsidP="00AD1A78">
      <w:pPr>
        <w:spacing w:after="0"/>
        <w:rPr>
          <w:rFonts w:ascii="Times New Roman" w:hAnsi="Times New Roman"/>
          <w:b/>
          <w:sz w:val="24"/>
          <w:szCs w:val="24"/>
        </w:rPr>
      </w:pPr>
    </w:p>
    <w:p w14:paraId="51A838B2" w14:textId="77777777" w:rsidR="00AD1A78" w:rsidRPr="00196CE1" w:rsidRDefault="00AD1A78" w:rsidP="002772B6">
      <w:pPr>
        <w:spacing w:after="0"/>
        <w:jc w:val="center"/>
        <w:rPr>
          <w:rFonts w:ascii="Times New Roman" w:hAnsi="Times New Roman"/>
          <w:b/>
          <w:sz w:val="24"/>
          <w:szCs w:val="24"/>
        </w:rPr>
      </w:pPr>
    </w:p>
    <w:p w14:paraId="3D93F6C8" w14:textId="77777777" w:rsidR="00D83099" w:rsidRPr="00196CE1" w:rsidRDefault="00ED2E43" w:rsidP="00E1522B">
      <w:pPr>
        <w:spacing w:after="0"/>
        <w:jc w:val="center"/>
        <w:rPr>
          <w:rFonts w:ascii="Times New Roman" w:hAnsi="Times New Roman"/>
          <w:b/>
          <w:sz w:val="24"/>
          <w:szCs w:val="24"/>
        </w:rPr>
      </w:pPr>
      <w:r w:rsidRPr="00196CE1">
        <w:rPr>
          <w:rFonts w:ascii="Times New Roman" w:hAnsi="Times New Roman"/>
          <w:b/>
          <w:sz w:val="24"/>
          <w:szCs w:val="24"/>
        </w:rPr>
        <w:t>I</w:t>
      </w:r>
      <w:r w:rsidR="00D83099" w:rsidRPr="00196CE1">
        <w:rPr>
          <w:rFonts w:ascii="Times New Roman" w:hAnsi="Times New Roman"/>
          <w:b/>
          <w:sz w:val="24"/>
          <w:szCs w:val="24"/>
        </w:rPr>
        <w:t>V dalis. SPRENDIMAS</w:t>
      </w:r>
    </w:p>
    <w:p w14:paraId="706F22A2" w14:textId="77777777" w:rsidR="000F3D07" w:rsidRPr="00196CE1" w:rsidRDefault="000F3D07" w:rsidP="00E1522B">
      <w:pPr>
        <w:spacing w:after="0"/>
        <w:jc w:val="center"/>
        <w:rPr>
          <w:rFonts w:ascii="Times New Roman" w:hAnsi="Times New Roman"/>
          <w:b/>
          <w:sz w:val="24"/>
          <w:szCs w:val="24"/>
        </w:rPr>
      </w:pPr>
    </w:p>
    <w:p w14:paraId="729081BB" w14:textId="77777777" w:rsidR="003532BF" w:rsidRPr="003E6595" w:rsidRDefault="003532BF" w:rsidP="00444DEE">
      <w:pPr>
        <w:spacing w:before="0" w:after="0"/>
        <w:ind w:firstLine="709"/>
        <w:rPr>
          <w:rFonts w:ascii="Times New Roman" w:hAnsi="Times New Roman"/>
          <w:sz w:val="24"/>
          <w:szCs w:val="24"/>
        </w:rPr>
      </w:pPr>
      <w:r w:rsidRPr="003E6595">
        <w:rPr>
          <w:rFonts w:ascii="Times New Roman" w:hAnsi="Times New Roman"/>
          <w:sz w:val="24"/>
          <w:szCs w:val="24"/>
        </w:rPr>
        <w:t>Tarnyba, atsižvelgdama į nustatytus Įstatymo nuostatų pažeidimus ir</w:t>
      </w:r>
      <w:r w:rsidR="003E6595" w:rsidRPr="003E6595">
        <w:rPr>
          <w:rFonts w:ascii="Times New Roman" w:hAnsi="Times New Roman"/>
          <w:sz w:val="24"/>
          <w:szCs w:val="24"/>
        </w:rPr>
        <w:t xml:space="preserve"> nuo 2017-07-01 pasikeitusį viešųjų pirkimų teisinį reglamentavimą</w:t>
      </w:r>
      <w:r w:rsidRPr="003E6595">
        <w:rPr>
          <w:rFonts w:ascii="Times New Roman" w:hAnsi="Times New Roman"/>
          <w:sz w:val="24"/>
          <w:szCs w:val="24"/>
        </w:rPr>
        <w:t xml:space="preserve">, vadovaudamasi Lietuvos Respublikos viešųjų pirkimų įstatymo </w:t>
      </w:r>
      <w:r w:rsidR="00803A54" w:rsidRPr="003E6595">
        <w:rPr>
          <w:rFonts w:ascii="Times New Roman" w:hAnsi="Times New Roman"/>
          <w:sz w:val="24"/>
          <w:szCs w:val="24"/>
        </w:rPr>
        <w:t>95</w:t>
      </w:r>
      <w:r w:rsidRPr="003E6595">
        <w:rPr>
          <w:rFonts w:ascii="Times New Roman" w:hAnsi="Times New Roman"/>
          <w:sz w:val="24"/>
          <w:szCs w:val="24"/>
        </w:rPr>
        <w:t xml:space="preserve"> straipsnio 2 dalies </w:t>
      </w:r>
      <w:r w:rsidR="00803A54" w:rsidRPr="003E6595">
        <w:rPr>
          <w:rFonts w:ascii="Times New Roman" w:hAnsi="Times New Roman"/>
          <w:sz w:val="24"/>
          <w:szCs w:val="24"/>
        </w:rPr>
        <w:t>5</w:t>
      </w:r>
      <w:r w:rsidRPr="003E6595">
        <w:rPr>
          <w:rFonts w:ascii="Times New Roman" w:hAnsi="Times New Roman"/>
          <w:sz w:val="24"/>
          <w:szCs w:val="24"/>
        </w:rPr>
        <w:t xml:space="preserve"> punktu, įpareigoja Perkančiąją organizaciją:</w:t>
      </w:r>
    </w:p>
    <w:p w14:paraId="2CCDDDE4" w14:textId="77777777" w:rsidR="003E6595" w:rsidRPr="003E6595" w:rsidRDefault="003E6595" w:rsidP="003E6595">
      <w:pPr>
        <w:pStyle w:val="MediumGrid21"/>
        <w:spacing w:before="0" w:after="0"/>
        <w:ind w:firstLine="720"/>
        <w:rPr>
          <w:rFonts w:ascii="Times New Roman" w:hAnsi="Times New Roman"/>
          <w:sz w:val="24"/>
          <w:szCs w:val="24"/>
          <w:lang w:val="lt-LT"/>
        </w:rPr>
      </w:pPr>
      <w:r>
        <w:rPr>
          <w:rFonts w:ascii="Times New Roman" w:hAnsi="Times New Roman"/>
          <w:sz w:val="24"/>
          <w:szCs w:val="24"/>
          <w:lang w:val="lt-LT"/>
        </w:rPr>
        <w:t>1. Nutraukti Pirkimo procedūras;</w:t>
      </w:r>
    </w:p>
    <w:p w14:paraId="70C65083" w14:textId="77777777" w:rsidR="003E6595" w:rsidRPr="003E6595" w:rsidRDefault="003E6595" w:rsidP="003E6595">
      <w:pPr>
        <w:pStyle w:val="MediumGrid21"/>
        <w:spacing w:before="0" w:after="0"/>
        <w:ind w:firstLine="720"/>
        <w:rPr>
          <w:rFonts w:ascii="Times New Roman" w:hAnsi="Times New Roman"/>
          <w:sz w:val="24"/>
          <w:szCs w:val="24"/>
          <w:lang w:val="lt-LT"/>
        </w:rPr>
      </w:pPr>
      <w:r w:rsidRPr="003E6595">
        <w:rPr>
          <w:rFonts w:ascii="Times New Roman" w:hAnsi="Times New Roman"/>
          <w:sz w:val="24"/>
          <w:szCs w:val="24"/>
          <w:lang w:val="lt-LT"/>
        </w:rPr>
        <w:t>2. Raštu informuoti Tarnybą apie įpareigojimo įvykdymą ir pateikti tai patvirtinančius dokumentus.</w:t>
      </w:r>
    </w:p>
    <w:p w14:paraId="030BA5E2" w14:textId="77777777" w:rsidR="00257BAB" w:rsidRDefault="003532BF" w:rsidP="003E6595">
      <w:pPr>
        <w:pStyle w:val="MediumGrid21"/>
        <w:spacing w:before="0" w:after="0"/>
        <w:ind w:firstLine="720"/>
        <w:rPr>
          <w:rFonts w:ascii="Times New Roman" w:hAnsi="Times New Roman"/>
          <w:sz w:val="24"/>
          <w:szCs w:val="24"/>
          <w:lang w:val="lt-LT"/>
        </w:rPr>
      </w:pPr>
      <w:r w:rsidRPr="003E6595">
        <w:rPr>
          <w:rFonts w:ascii="Times New Roman" w:hAnsi="Times New Roman"/>
          <w:sz w:val="24"/>
          <w:szCs w:val="24"/>
          <w:lang w:val="lt-LT"/>
        </w:rPr>
        <w:t xml:space="preserve">Vadovaujantis Lietuvos Respublikos administracinių bylų teisenos įstatymo 5 ir </w:t>
      </w:r>
      <w:r w:rsidR="00D72053" w:rsidRPr="003E6595">
        <w:rPr>
          <w:rFonts w:ascii="Times New Roman" w:hAnsi="Times New Roman"/>
          <w:sz w:val="24"/>
          <w:szCs w:val="24"/>
          <w:lang w:val="lt-LT"/>
        </w:rPr>
        <w:t xml:space="preserve">17 </w:t>
      </w:r>
      <w:r w:rsidRPr="003E6595">
        <w:rPr>
          <w:rFonts w:ascii="Times New Roman" w:hAnsi="Times New Roman"/>
          <w:sz w:val="24"/>
          <w:szCs w:val="24"/>
          <w:lang w:val="lt-LT"/>
        </w:rPr>
        <w:t>straipsniais, nesutikę su Tarnybos sprendimu, Jūs galite jį apskųsti teismui šio įstatymo nustatyta tvarka.</w:t>
      </w:r>
    </w:p>
    <w:p w14:paraId="70E77EFA" w14:textId="77777777" w:rsidR="001B3FC3" w:rsidRPr="00196CE1" w:rsidRDefault="001B3FC3" w:rsidP="00444DEE">
      <w:pPr>
        <w:pStyle w:val="MediumGrid21"/>
        <w:spacing w:before="0" w:after="0"/>
        <w:ind w:firstLine="720"/>
        <w:rPr>
          <w:rFonts w:ascii="Times New Roman" w:hAnsi="Times New Roman"/>
          <w:bCs/>
          <w:sz w:val="24"/>
          <w:szCs w:val="24"/>
          <w:lang w:val="lt-LT"/>
        </w:rPr>
      </w:pPr>
    </w:p>
    <w:p w14:paraId="7BFF3FA5" w14:textId="77777777" w:rsidR="003E6595" w:rsidRDefault="003E6595" w:rsidP="00444DEE">
      <w:pPr>
        <w:tabs>
          <w:tab w:val="left" w:pos="0"/>
        </w:tabs>
        <w:spacing w:before="0" w:after="0"/>
        <w:rPr>
          <w:rFonts w:ascii="Times New Roman" w:hAnsi="Times New Roman"/>
          <w:bCs/>
          <w:sz w:val="24"/>
          <w:szCs w:val="24"/>
        </w:rPr>
      </w:pPr>
    </w:p>
    <w:p w14:paraId="0A399368" w14:textId="77777777" w:rsidR="00977D84" w:rsidRDefault="002B02DA" w:rsidP="003E6595">
      <w:pPr>
        <w:tabs>
          <w:tab w:val="left" w:pos="0"/>
        </w:tabs>
        <w:spacing w:before="0" w:after="0"/>
        <w:ind w:firstLine="0"/>
        <w:rPr>
          <w:rFonts w:ascii="Times New Roman" w:hAnsi="Times New Roman"/>
          <w:bCs/>
          <w:sz w:val="24"/>
          <w:szCs w:val="24"/>
        </w:rPr>
      </w:pPr>
      <w:r w:rsidRPr="00D72053">
        <w:rPr>
          <w:rFonts w:ascii="Times New Roman" w:hAnsi="Times New Roman"/>
          <w:bCs/>
          <w:sz w:val="24"/>
          <w:szCs w:val="24"/>
        </w:rPr>
        <w:t>Kontrolės skyriaus vyriausi</w:t>
      </w:r>
      <w:r w:rsidR="00B713C0" w:rsidRPr="00D72053">
        <w:rPr>
          <w:rFonts w:ascii="Times New Roman" w:hAnsi="Times New Roman"/>
          <w:bCs/>
          <w:sz w:val="24"/>
          <w:szCs w:val="24"/>
        </w:rPr>
        <w:t>asis</w:t>
      </w:r>
      <w:r w:rsidRPr="00D72053">
        <w:rPr>
          <w:rFonts w:ascii="Times New Roman" w:hAnsi="Times New Roman"/>
          <w:bCs/>
          <w:sz w:val="24"/>
          <w:szCs w:val="24"/>
        </w:rPr>
        <w:t xml:space="preserve"> specialist</w:t>
      </w:r>
      <w:r w:rsidR="00B713C0" w:rsidRPr="00D72053">
        <w:rPr>
          <w:rFonts w:ascii="Times New Roman" w:hAnsi="Times New Roman"/>
          <w:bCs/>
          <w:sz w:val="24"/>
          <w:szCs w:val="24"/>
        </w:rPr>
        <w:t>as</w:t>
      </w:r>
      <w:r w:rsidRPr="00D72053">
        <w:rPr>
          <w:rFonts w:ascii="Times New Roman" w:hAnsi="Times New Roman"/>
          <w:bCs/>
          <w:sz w:val="24"/>
          <w:szCs w:val="24"/>
        </w:rPr>
        <w:tab/>
      </w:r>
      <w:r w:rsidRPr="00D72053">
        <w:rPr>
          <w:rFonts w:ascii="Times New Roman" w:hAnsi="Times New Roman"/>
          <w:bCs/>
          <w:sz w:val="24"/>
          <w:szCs w:val="24"/>
        </w:rPr>
        <w:tab/>
      </w:r>
      <w:r w:rsidR="00BE6155">
        <w:rPr>
          <w:rFonts w:ascii="Times New Roman" w:hAnsi="Times New Roman"/>
          <w:bCs/>
          <w:sz w:val="24"/>
          <w:szCs w:val="24"/>
        </w:rPr>
        <w:tab/>
        <w:t xml:space="preserve">                       </w:t>
      </w:r>
      <w:r w:rsidR="003E6595">
        <w:rPr>
          <w:rFonts w:ascii="Times New Roman" w:hAnsi="Times New Roman"/>
          <w:bCs/>
          <w:sz w:val="24"/>
          <w:szCs w:val="24"/>
        </w:rPr>
        <w:t xml:space="preserve">           </w:t>
      </w:r>
      <w:r w:rsidR="00B713C0" w:rsidRPr="00D72053">
        <w:rPr>
          <w:rFonts w:ascii="Times New Roman" w:hAnsi="Times New Roman"/>
          <w:bCs/>
          <w:sz w:val="24"/>
          <w:szCs w:val="24"/>
        </w:rPr>
        <w:t>Darius Butavičius</w:t>
      </w:r>
    </w:p>
    <w:p w14:paraId="5DD8B700" w14:textId="77777777" w:rsidR="001B3FC3" w:rsidRDefault="001B3FC3" w:rsidP="00D25C12">
      <w:pPr>
        <w:tabs>
          <w:tab w:val="left" w:pos="0"/>
        </w:tabs>
        <w:spacing w:after="0"/>
        <w:rPr>
          <w:rFonts w:ascii="Times New Roman" w:hAnsi="Times New Roman"/>
          <w:bCs/>
          <w:sz w:val="24"/>
          <w:szCs w:val="24"/>
        </w:rPr>
      </w:pPr>
    </w:p>
    <w:p w14:paraId="5DF15A02" w14:textId="77777777" w:rsidR="001B3FC3" w:rsidRDefault="001B3FC3" w:rsidP="00D25C12">
      <w:pPr>
        <w:tabs>
          <w:tab w:val="left" w:pos="0"/>
        </w:tabs>
        <w:spacing w:after="0"/>
        <w:rPr>
          <w:rFonts w:ascii="Times New Roman" w:hAnsi="Times New Roman"/>
          <w:bCs/>
          <w:sz w:val="24"/>
          <w:szCs w:val="24"/>
        </w:rPr>
      </w:pPr>
    </w:p>
    <w:p w14:paraId="0F16E4DB" w14:textId="77777777" w:rsidR="001B3FC3" w:rsidRDefault="001B3FC3" w:rsidP="00D25C12">
      <w:pPr>
        <w:tabs>
          <w:tab w:val="left" w:pos="0"/>
        </w:tabs>
        <w:spacing w:after="0"/>
        <w:rPr>
          <w:rFonts w:ascii="Times New Roman" w:hAnsi="Times New Roman"/>
          <w:bCs/>
          <w:sz w:val="24"/>
          <w:szCs w:val="24"/>
        </w:rPr>
      </w:pPr>
    </w:p>
    <w:p w14:paraId="7C566F23" w14:textId="77777777" w:rsidR="001B3FC3" w:rsidRDefault="001B3FC3" w:rsidP="00D25C12">
      <w:pPr>
        <w:tabs>
          <w:tab w:val="left" w:pos="0"/>
        </w:tabs>
        <w:spacing w:after="0"/>
        <w:rPr>
          <w:rFonts w:ascii="Times New Roman" w:hAnsi="Times New Roman"/>
          <w:bCs/>
          <w:sz w:val="24"/>
          <w:szCs w:val="24"/>
        </w:rPr>
      </w:pPr>
    </w:p>
    <w:p w14:paraId="1AF279CB" w14:textId="77777777" w:rsidR="001B3FC3" w:rsidRDefault="001B3FC3" w:rsidP="00D25C12">
      <w:pPr>
        <w:tabs>
          <w:tab w:val="left" w:pos="0"/>
        </w:tabs>
        <w:spacing w:after="0"/>
        <w:rPr>
          <w:rFonts w:ascii="Times New Roman" w:hAnsi="Times New Roman"/>
          <w:bCs/>
          <w:sz w:val="24"/>
          <w:szCs w:val="24"/>
        </w:rPr>
      </w:pPr>
    </w:p>
    <w:p w14:paraId="63371FC2" w14:textId="77777777" w:rsidR="001B3FC3" w:rsidRDefault="001B3FC3" w:rsidP="00D25C12">
      <w:pPr>
        <w:tabs>
          <w:tab w:val="left" w:pos="0"/>
        </w:tabs>
        <w:spacing w:after="0"/>
        <w:rPr>
          <w:rFonts w:ascii="Times New Roman" w:hAnsi="Times New Roman"/>
          <w:bCs/>
          <w:sz w:val="24"/>
          <w:szCs w:val="24"/>
        </w:rPr>
      </w:pPr>
    </w:p>
    <w:p w14:paraId="54CA4C76" w14:textId="77777777" w:rsidR="001B3FC3" w:rsidRDefault="001B3FC3" w:rsidP="00D25C12">
      <w:pPr>
        <w:tabs>
          <w:tab w:val="left" w:pos="0"/>
        </w:tabs>
        <w:spacing w:after="0"/>
        <w:rPr>
          <w:rFonts w:ascii="Times New Roman" w:hAnsi="Times New Roman"/>
          <w:bCs/>
          <w:sz w:val="24"/>
          <w:szCs w:val="24"/>
        </w:rPr>
      </w:pPr>
    </w:p>
    <w:p w14:paraId="6FE435CA" w14:textId="77777777" w:rsidR="001B3FC3" w:rsidRDefault="001B3FC3" w:rsidP="00D25C12">
      <w:pPr>
        <w:tabs>
          <w:tab w:val="left" w:pos="0"/>
        </w:tabs>
        <w:spacing w:after="0"/>
        <w:rPr>
          <w:rFonts w:ascii="Times New Roman" w:hAnsi="Times New Roman"/>
          <w:bCs/>
          <w:sz w:val="24"/>
          <w:szCs w:val="24"/>
        </w:rPr>
      </w:pPr>
    </w:p>
    <w:p w14:paraId="20F067F1" w14:textId="77777777" w:rsidR="00617401" w:rsidRDefault="00617401" w:rsidP="00D25C12">
      <w:pPr>
        <w:tabs>
          <w:tab w:val="left" w:pos="0"/>
        </w:tabs>
        <w:spacing w:after="0"/>
        <w:rPr>
          <w:rFonts w:ascii="Times New Roman" w:hAnsi="Times New Roman"/>
          <w:bCs/>
          <w:sz w:val="24"/>
          <w:szCs w:val="24"/>
        </w:rPr>
      </w:pPr>
    </w:p>
    <w:p w14:paraId="41D04F35" w14:textId="77777777" w:rsidR="00617401" w:rsidRDefault="00617401" w:rsidP="00D25C12">
      <w:pPr>
        <w:tabs>
          <w:tab w:val="left" w:pos="0"/>
        </w:tabs>
        <w:spacing w:after="0"/>
        <w:rPr>
          <w:rFonts w:ascii="Times New Roman" w:hAnsi="Times New Roman"/>
          <w:bCs/>
          <w:sz w:val="24"/>
          <w:szCs w:val="24"/>
        </w:rPr>
      </w:pPr>
    </w:p>
    <w:p w14:paraId="6F7B891B" w14:textId="77777777" w:rsidR="00617401" w:rsidRDefault="00617401" w:rsidP="00D25C12">
      <w:pPr>
        <w:tabs>
          <w:tab w:val="left" w:pos="0"/>
        </w:tabs>
        <w:spacing w:after="0"/>
        <w:rPr>
          <w:rFonts w:ascii="Times New Roman" w:hAnsi="Times New Roman"/>
          <w:bCs/>
          <w:sz w:val="24"/>
          <w:szCs w:val="24"/>
        </w:rPr>
      </w:pPr>
    </w:p>
    <w:p w14:paraId="7147BD61" w14:textId="77777777" w:rsidR="00617401" w:rsidRDefault="00617401" w:rsidP="00D25C12">
      <w:pPr>
        <w:tabs>
          <w:tab w:val="left" w:pos="0"/>
        </w:tabs>
        <w:spacing w:after="0"/>
        <w:rPr>
          <w:rFonts w:ascii="Times New Roman" w:hAnsi="Times New Roman"/>
          <w:bCs/>
          <w:sz w:val="24"/>
          <w:szCs w:val="24"/>
        </w:rPr>
      </w:pPr>
    </w:p>
    <w:p w14:paraId="683913B8" w14:textId="77777777" w:rsidR="00617401" w:rsidRDefault="00617401" w:rsidP="00D25C12">
      <w:pPr>
        <w:tabs>
          <w:tab w:val="left" w:pos="0"/>
        </w:tabs>
        <w:spacing w:after="0"/>
        <w:rPr>
          <w:rFonts w:ascii="Times New Roman" w:hAnsi="Times New Roman"/>
          <w:bCs/>
          <w:sz w:val="24"/>
          <w:szCs w:val="24"/>
        </w:rPr>
      </w:pPr>
    </w:p>
    <w:p w14:paraId="70B65FD2" w14:textId="77777777" w:rsidR="001B3FC3" w:rsidRDefault="001B3FC3" w:rsidP="006621D9">
      <w:pPr>
        <w:tabs>
          <w:tab w:val="left" w:pos="0"/>
        </w:tabs>
        <w:spacing w:after="0"/>
        <w:ind w:firstLine="0"/>
        <w:rPr>
          <w:rFonts w:ascii="Times New Roman" w:hAnsi="Times New Roman"/>
          <w:bCs/>
          <w:sz w:val="24"/>
          <w:szCs w:val="24"/>
        </w:rPr>
      </w:pPr>
    </w:p>
    <w:p w14:paraId="1F86DD4C" w14:textId="77777777" w:rsidR="00E11701" w:rsidRDefault="00E11701" w:rsidP="00D25C12">
      <w:pPr>
        <w:tabs>
          <w:tab w:val="left" w:pos="0"/>
        </w:tabs>
        <w:spacing w:after="0"/>
        <w:rPr>
          <w:rFonts w:ascii="Times New Roman" w:hAnsi="Times New Roman"/>
          <w:bCs/>
          <w:sz w:val="24"/>
          <w:szCs w:val="24"/>
        </w:rPr>
      </w:pPr>
    </w:p>
    <w:p w14:paraId="13E47691" w14:textId="77777777" w:rsidR="002B02DA" w:rsidRPr="00196CE1" w:rsidRDefault="00B713C0" w:rsidP="003E6595">
      <w:pPr>
        <w:tabs>
          <w:tab w:val="left" w:pos="900"/>
        </w:tabs>
        <w:spacing w:after="0"/>
        <w:ind w:firstLine="0"/>
        <w:rPr>
          <w:rFonts w:ascii="Times New Roman" w:hAnsi="Times New Roman"/>
          <w:sz w:val="24"/>
          <w:szCs w:val="24"/>
        </w:rPr>
      </w:pPr>
      <w:r w:rsidRPr="00D72053">
        <w:rPr>
          <w:rFonts w:ascii="Times New Roman" w:hAnsi="Times New Roman"/>
          <w:bCs/>
          <w:sz w:val="24"/>
          <w:szCs w:val="24"/>
        </w:rPr>
        <w:t>Darius Butavičius, tel. (8 5) 219 7012, el. p. Darius.Butavicius@vpt.lt</w:t>
      </w:r>
      <w:r w:rsidR="0060158C" w:rsidRPr="00196CE1">
        <w:rPr>
          <w:rFonts w:ascii="Times New Roman" w:hAnsi="Times New Roman"/>
          <w:sz w:val="24"/>
          <w:szCs w:val="24"/>
        </w:rPr>
        <w:tab/>
      </w:r>
    </w:p>
    <w:sectPr w:rsidR="002B02DA" w:rsidRPr="00196CE1" w:rsidSect="00683AA7">
      <w:pgSz w:w="11906" w:h="16838"/>
      <w:pgMar w:top="1134" w:right="707" w:bottom="1134"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1C16C" w14:textId="77777777" w:rsidR="002372B4" w:rsidRDefault="002372B4" w:rsidP="006741AE">
      <w:pPr>
        <w:spacing w:after="0"/>
      </w:pPr>
      <w:r>
        <w:separator/>
      </w:r>
    </w:p>
  </w:endnote>
  <w:endnote w:type="continuationSeparator" w:id="0">
    <w:p w14:paraId="141C8E4E" w14:textId="77777777" w:rsidR="002372B4" w:rsidRDefault="002372B4" w:rsidP="006741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31A9B" w14:textId="77777777" w:rsidR="002372B4" w:rsidRDefault="002372B4" w:rsidP="006741AE">
      <w:pPr>
        <w:spacing w:after="0"/>
      </w:pPr>
      <w:r>
        <w:separator/>
      </w:r>
    </w:p>
  </w:footnote>
  <w:footnote w:type="continuationSeparator" w:id="0">
    <w:p w14:paraId="6828B72A" w14:textId="77777777" w:rsidR="002372B4" w:rsidRDefault="002372B4" w:rsidP="006741AE">
      <w:pPr>
        <w:spacing w:after="0"/>
      </w:pPr>
      <w:r>
        <w:continuationSeparator/>
      </w:r>
    </w:p>
  </w:footnote>
  <w:footnote w:id="1">
    <w:p w14:paraId="61D5AD9A" w14:textId="77777777" w:rsidR="008B391B" w:rsidRPr="00A414AA" w:rsidRDefault="008B391B" w:rsidP="00DA6BA5">
      <w:pPr>
        <w:pStyle w:val="FootnoteText"/>
        <w:spacing w:before="0"/>
        <w:ind w:firstLine="284"/>
        <w:rPr>
          <w:rFonts w:ascii="Times New Roman" w:hAnsi="Times New Roman"/>
        </w:rPr>
      </w:pPr>
      <w:r w:rsidRPr="00A414AA">
        <w:rPr>
          <w:rStyle w:val="FootnoteReference"/>
          <w:rFonts w:ascii="Times New Roman" w:hAnsi="Times New Roman"/>
        </w:rPr>
        <w:footnoteRef/>
      </w:r>
      <w:r w:rsidRPr="00A414AA">
        <w:rPr>
          <w:rFonts w:ascii="Times New Roman" w:hAnsi="Times New Roman"/>
        </w:rPr>
        <w:t xml:space="preserve"> „</w:t>
      </w:r>
      <w:r w:rsidR="002972AD" w:rsidRPr="002972AD">
        <w:rPr>
          <w:rFonts w:ascii="Times New Roman" w:hAnsi="Times New Roman"/>
        </w:rPr>
        <w:t>Perkančioji organizacija, išskyrus Lietuvos Respublikos diplomatines atstovybes ir konsulines įstaigas užsienyje ir Lietuvos Respublikos atstovybes prie tarptautinių organizacijų, rengia ir tvirtina planuojamų atlikti einamaisiais biudžetiniais metais viešųjų pirkimų planus ir kiekvienais metais, ne vėliau kaip iki kovo 15 dienos, o šiuos planus patikslinusi – nedelsdama, Centrinėje viešųjų pirkimų informacinėje sistemoje ir savo tinklalapyje, jeigu toks yra, skelbia tais metais planuojamų atlikti viešųjų pirkimų suvestinę, kurioje nurodo perkančiosios organizacijos pavadinimą, adresą, kontaktinius duomenis, pirkimo objekto pavadinimą ir kodą, numatomą kiekį ar apimtį (jeigu įmanoma), numatomą pirkimo pradžią, pirkimo būdą, ketinamos sudaryti pirkimo sutarties trukmę, taip pat iš anksto skelbia pirkimų, išskyrus mažos vertės pirkimus, techninių specifikacijų projektus.</w:t>
      </w:r>
      <w:r w:rsidR="002972AD">
        <w:rPr>
          <w:rFonts w:ascii="Times New Roman" w:hAnsi="Times New Roman"/>
        </w:rPr>
        <w:t xml:space="preserve"> &lt;...&gt;</w:t>
      </w:r>
      <w:r w:rsidRPr="00A414AA">
        <w:rPr>
          <w:rFonts w:ascii="Times New Roman" w:hAnsi="Times New Roman"/>
        </w:rPr>
        <w:t>“.</w:t>
      </w:r>
    </w:p>
  </w:footnote>
  <w:footnote w:id="2">
    <w:p w14:paraId="5D71C68F" w14:textId="77777777" w:rsidR="00946CD2" w:rsidRPr="00A414AA" w:rsidRDefault="00946CD2" w:rsidP="00946CD2">
      <w:pPr>
        <w:pStyle w:val="FootnoteText"/>
        <w:spacing w:before="0"/>
        <w:rPr>
          <w:rFonts w:ascii="Times New Roman" w:hAnsi="Times New Roman"/>
        </w:rPr>
      </w:pPr>
      <w:r w:rsidRPr="00A414AA">
        <w:rPr>
          <w:rStyle w:val="FootnoteReference"/>
          <w:rFonts w:ascii="Times New Roman" w:hAnsi="Times New Roman"/>
        </w:rPr>
        <w:footnoteRef/>
      </w:r>
      <w:r>
        <w:rPr>
          <w:rFonts w:ascii="Times New Roman" w:hAnsi="Times New Roman"/>
        </w:rPr>
        <w:t xml:space="preserve"> </w:t>
      </w:r>
      <w:r w:rsidRPr="00D730E5">
        <w:rPr>
          <w:rFonts w:ascii="Times New Roman" w:hAnsi="Times New Roman"/>
        </w:rPr>
        <w:t>„Komisijos sprendimai įforminami protokolu. Protokole nurodomi Komisijos sprendimo motyvai, pateikiami paaiškinimai &lt;...&gt;.“</w:t>
      </w:r>
    </w:p>
  </w:footnote>
  <w:footnote w:id="3">
    <w:p w14:paraId="70DB3F14" w14:textId="77777777" w:rsidR="00A67C3E" w:rsidRPr="00D730E5" w:rsidRDefault="00A67C3E" w:rsidP="00A67C3E">
      <w:pPr>
        <w:pStyle w:val="FootnoteText"/>
        <w:spacing w:before="0"/>
        <w:rPr>
          <w:rFonts w:ascii="Times New Roman" w:hAnsi="Times New Roman"/>
        </w:rPr>
      </w:pPr>
      <w:r w:rsidRPr="00D730E5">
        <w:rPr>
          <w:rStyle w:val="FootnoteReference"/>
          <w:rFonts w:ascii="Times New Roman" w:hAnsi="Times New Roman"/>
        </w:rPr>
        <w:footnoteRef/>
      </w:r>
      <w:r w:rsidRPr="00D730E5">
        <w:rPr>
          <w:rFonts w:ascii="Times New Roman" w:hAnsi="Times New Roman"/>
        </w:rPr>
        <w:t xml:space="preserve"> </w:t>
      </w:r>
      <w:r w:rsidR="00946CD2">
        <w:rPr>
          <w:rFonts w:ascii="Times New Roman" w:hAnsi="Times New Roman"/>
        </w:rPr>
        <w:t>Žr. išnašą Nr. 2.</w:t>
      </w:r>
    </w:p>
  </w:footnote>
  <w:footnote w:id="4">
    <w:p w14:paraId="260FC805" w14:textId="77777777" w:rsidR="00CD599D" w:rsidRPr="00D730E5" w:rsidRDefault="00CD599D" w:rsidP="00CD599D">
      <w:pPr>
        <w:pStyle w:val="FootnoteText"/>
        <w:spacing w:before="0"/>
        <w:ind w:firstLine="284"/>
        <w:rPr>
          <w:rFonts w:ascii="Times New Roman" w:hAnsi="Times New Roman"/>
        </w:rPr>
      </w:pPr>
      <w:r w:rsidRPr="00D730E5">
        <w:rPr>
          <w:rStyle w:val="FootnoteReference"/>
          <w:rFonts w:ascii="Times New Roman" w:hAnsi="Times New Roman"/>
        </w:rPr>
        <w:footnoteRef/>
      </w:r>
      <w:r w:rsidRPr="00D730E5">
        <w:rPr>
          <w:rFonts w:ascii="Times New Roman" w:hAnsi="Times New Roman"/>
        </w:rPr>
        <w:t xml:space="preserve"> „Perkančioji organizacija užtikrina, kad atliekant pirkimo procedūras ir nustatant laimėtoją būtų laikomasi </w:t>
      </w:r>
      <w:r w:rsidR="00466569" w:rsidRPr="00D730E5">
        <w:rPr>
          <w:rFonts w:ascii="Times New Roman" w:hAnsi="Times New Roman"/>
        </w:rPr>
        <w:t>lygiateisiškumo, nediskriminavimo, abipusio pripažinimo, proporcingumo ir skaidrumo principų</w:t>
      </w:r>
      <w:r w:rsidRPr="00D730E5">
        <w:rPr>
          <w:rFonts w:ascii="Times New Roman" w:hAnsi="Times New Roman"/>
        </w:rPr>
        <w:t>“.</w:t>
      </w:r>
    </w:p>
  </w:footnote>
  <w:footnote w:id="5">
    <w:p w14:paraId="46793511" w14:textId="77777777" w:rsidR="00CD599D" w:rsidRPr="00A414AA" w:rsidRDefault="00CD599D" w:rsidP="00CD599D">
      <w:pPr>
        <w:pStyle w:val="FootnoteText"/>
        <w:spacing w:before="0"/>
        <w:ind w:firstLine="284"/>
        <w:rPr>
          <w:rFonts w:ascii="Times New Roman" w:hAnsi="Times New Roman"/>
        </w:rPr>
      </w:pPr>
      <w:r w:rsidRPr="00D730E5">
        <w:rPr>
          <w:rStyle w:val="FootnoteReference"/>
          <w:rFonts w:ascii="Times New Roman" w:hAnsi="Times New Roman"/>
        </w:rPr>
        <w:footnoteRef/>
      </w:r>
      <w:r w:rsidRPr="00D730E5">
        <w:rPr>
          <w:rFonts w:ascii="Times New Roman" w:hAnsi="Times New Roman"/>
        </w:rPr>
        <w:t xml:space="preserve"> Pirkimų tikslas – vadovaujantis šio įstatymo reikalavimais sudaryti pirkimo sutartį, leidžiančią įsigyti perkančiajai organizacijai &lt;...&gt; reikalingų prekių, paslaugų ar darbų, racionaliai naudojant tam skirtas lėšas“.</w:t>
      </w:r>
    </w:p>
  </w:footnote>
  <w:footnote w:id="6">
    <w:p w14:paraId="32F5B16E" w14:textId="77777777" w:rsidR="00CD599D" w:rsidRPr="00A414AA" w:rsidRDefault="00CD599D" w:rsidP="00CD599D">
      <w:pPr>
        <w:pStyle w:val="FootnoteText"/>
        <w:spacing w:before="0"/>
        <w:ind w:firstLine="284"/>
        <w:rPr>
          <w:rFonts w:ascii="Times New Roman" w:hAnsi="Times New Roman"/>
        </w:rPr>
      </w:pPr>
      <w:r w:rsidRPr="00A414AA">
        <w:rPr>
          <w:rStyle w:val="FootnoteReference"/>
          <w:rFonts w:ascii="Times New Roman" w:hAnsi="Times New Roman"/>
        </w:rPr>
        <w:footnoteRef/>
      </w:r>
      <w:r w:rsidRPr="00A414AA">
        <w:rPr>
          <w:rFonts w:ascii="Times New Roman" w:hAnsi="Times New Roman"/>
        </w:rPr>
        <w:t xml:space="preserve"> „</w:t>
      </w:r>
      <w:r w:rsidRPr="00196CE1">
        <w:rPr>
          <w:rFonts w:ascii="Times New Roman" w:hAnsi="Times New Roman"/>
        </w:rPr>
        <w:t>Ekonomiškai naudingiausias pasiūlymas išrenkamas pagal perkančiosios organizacijos nustatytus, su pirkimo objektu susijusius kriterijus. Tokie kriterijai, be kainos, paprastai yra kokybės, techninių privalumų, estetinių ir funkcinių charakteristikų, aplinkosaugos charakteristikų, eksploatavimo išlaidų, veiksmingumo, garantinio aptarnavimo ir techninės pagalbos, pristatymo datos, pristatymo laiko arba užbaigimo laiko kriterijai. Tais atvejais, kai pirkimo sutarties įvykdymo kokybė priklauso nuo už pirkimo sutarties įvykdymą atsakingų darbuotojų kompetencijos, išrenkant ekonomiškai naudingiausią pasiūlymą taip pat gali būti vertinama darbuotojų kvalifikacija ir patirtis</w:t>
      </w:r>
      <w:r w:rsidRPr="00A414AA">
        <w:rPr>
          <w:rFonts w:ascii="Times New Roman" w:hAnsi="Times New Roman"/>
        </w:rPr>
        <w:t>“.</w:t>
      </w:r>
    </w:p>
  </w:footnote>
  <w:footnote w:id="7">
    <w:p w14:paraId="16A4A427" w14:textId="77777777" w:rsidR="00CD599D" w:rsidRPr="00A414AA" w:rsidRDefault="00CD599D" w:rsidP="00CD599D">
      <w:pPr>
        <w:pStyle w:val="FootnoteText"/>
        <w:spacing w:before="0"/>
        <w:ind w:firstLine="284"/>
        <w:rPr>
          <w:rFonts w:ascii="Times New Roman" w:hAnsi="Times New Roman"/>
        </w:rPr>
      </w:pPr>
      <w:r w:rsidRPr="00A414AA">
        <w:rPr>
          <w:rStyle w:val="FootnoteReference"/>
          <w:rFonts w:ascii="Times New Roman" w:hAnsi="Times New Roman"/>
        </w:rPr>
        <w:footnoteRef/>
      </w:r>
      <w:r w:rsidRPr="00A414AA">
        <w:rPr>
          <w:rFonts w:ascii="Times New Roman" w:hAnsi="Times New Roman"/>
        </w:rPr>
        <w:t xml:space="preserve"> „</w:t>
      </w:r>
      <w:r w:rsidRPr="00196CE1">
        <w:rPr>
          <w:rFonts w:ascii="Times New Roman" w:hAnsi="Times New Roman"/>
        </w:rPr>
        <w:t>Pasiūlymo vertinimo kriterijai negali nepagrįstai ir neobjektyviai riboti tiekėjų galimybių dalyvauti pirkime ar sudaryti išskirtinių sąlygų konkretiems tiekėjams, pažeidžiant šio įstatymo 3 straipsnio 1 dalyje nustatytus reikalavimus</w:t>
      </w:r>
      <w:r w:rsidRPr="00A414AA">
        <w:rPr>
          <w:rFonts w:ascii="Times New Roman" w:hAnsi="Times New Roman"/>
        </w:rPr>
        <w:t>“.</w:t>
      </w:r>
    </w:p>
  </w:footnote>
  <w:footnote w:id="8">
    <w:p w14:paraId="453A21D1" w14:textId="77777777" w:rsidR="00CD599D" w:rsidRPr="00A414AA" w:rsidRDefault="00CD599D" w:rsidP="00CD599D">
      <w:pPr>
        <w:pStyle w:val="FootnoteText"/>
        <w:spacing w:before="0"/>
        <w:ind w:firstLine="284"/>
        <w:rPr>
          <w:rFonts w:ascii="Times New Roman" w:hAnsi="Times New Roman"/>
        </w:rPr>
      </w:pPr>
      <w:r w:rsidRPr="00A414AA">
        <w:rPr>
          <w:rStyle w:val="FootnoteReference"/>
          <w:rFonts w:ascii="Times New Roman" w:hAnsi="Times New Roman"/>
        </w:rPr>
        <w:footnoteRef/>
      </w:r>
      <w:r w:rsidRPr="00A414AA">
        <w:rPr>
          <w:rFonts w:ascii="Times New Roman" w:hAnsi="Times New Roman"/>
        </w:rPr>
        <w:t xml:space="preserve"> </w:t>
      </w:r>
      <w:r>
        <w:rPr>
          <w:rFonts w:ascii="Times New Roman" w:hAnsi="Times New Roman"/>
        </w:rPr>
        <w:t xml:space="preserve">Pvz., </w:t>
      </w:r>
      <w:r w:rsidRPr="008A748F">
        <w:rPr>
          <w:rFonts w:ascii="Times New Roman" w:hAnsi="Times New Roman"/>
        </w:rPr>
        <w:t xml:space="preserve">Pirkimo sąlygų 64.7 punkte „Parametrų vertinimo aprašymas“ aprašant Mokymo programų (T3) vertinimo kriterijus, nurodyta, kad bus vertinama ir „&lt;...&gt; mokymo programos dėstytojų praktinė ir akademinė patirtis konkrečioje srityje &lt;...&gt;“. </w:t>
      </w:r>
      <w:r>
        <w:rPr>
          <w:rFonts w:ascii="Times New Roman" w:hAnsi="Times New Roman"/>
        </w:rPr>
        <w:t>Tačiau k</w:t>
      </w:r>
      <w:r w:rsidRPr="008A748F">
        <w:rPr>
          <w:rFonts w:ascii="Times New Roman" w:hAnsi="Times New Roman"/>
        </w:rPr>
        <w:t>omentuodama minėtą vertinimo kriterijų (2017-06-08 CVP IS pranešimas Nr. 5290844), Perkančioji organizacija tiekėjams paaiškino, kad „Konkrečios dėstytojo pavardės galima ir nepateikti, tačiau būtina nurodyti, kokių patirčių ir išsilavinimų dėstytojus numatoma pasitelkti programų įgyvendinimui. Nenurodant konkretaus žmogaus patirties ir išsilavinimus galima aprašyti laisva forma; nurodant konkretų asmenį galima pateikti jo CV ir diplomo kopiją &lt;...&gt;“. Pakartotinai aiškindama minėtą vertinimo kriterijų (2017-06-16 CVP IS pranešimas Nr. 5318408), Perkančioji organizacija tiekėjams nurodė, kad „&lt;...&gt; pirkimo etape reikalauti konkrečių dėstytojų pavardžių yra perteklinis reikalavimas, todėl, kad konkrečias pavardes paslaugos teikėjas turės nurodyti mokymo programų derinimo metu &lt;..</w:t>
      </w:r>
      <w:r>
        <w:rPr>
          <w:rFonts w:ascii="Times New Roman" w:hAnsi="Times New Roman"/>
        </w:rPr>
        <w:t>.&gt;</w:t>
      </w:r>
      <w:r w:rsidRPr="008A748F">
        <w:rPr>
          <w:rFonts w:ascii="Times New Roman" w:hAnsi="Times New Roman"/>
        </w:rPr>
        <w:t>“.</w:t>
      </w:r>
    </w:p>
  </w:footnote>
  <w:footnote w:id="9">
    <w:p w14:paraId="62302ADC" w14:textId="77777777" w:rsidR="00CD599D" w:rsidRPr="00A414AA" w:rsidRDefault="00CD599D" w:rsidP="00CD599D">
      <w:pPr>
        <w:pStyle w:val="FootnoteText"/>
        <w:spacing w:before="0"/>
        <w:ind w:firstLine="284"/>
        <w:rPr>
          <w:rFonts w:ascii="Times New Roman" w:hAnsi="Times New Roman"/>
        </w:rPr>
      </w:pPr>
      <w:r w:rsidRPr="00A414AA">
        <w:rPr>
          <w:rStyle w:val="FootnoteReference"/>
          <w:rFonts w:ascii="Times New Roman" w:hAnsi="Times New Roman"/>
        </w:rPr>
        <w:footnoteRef/>
      </w:r>
      <w:r>
        <w:rPr>
          <w:rFonts w:ascii="Times New Roman" w:hAnsi="Times New Roman"/>
        </w:rPr>
        <w:t xml:space="preserve"> Pvz., </w:t>
      </w:r>
      <w:r w:rsidRPr="008A748F">
        <w:rPr>
          <w:rFonts w:ascii="Times New Roman" w:hAnsi="Times New Roman"/>
        </w:rPr>
        <w:t>Pirkimo sąlygų 64.7 punkte</w:t>
      </w:r>
      <w:r>
        <w:rPr>
          <w:rFonts w:ascii="Times New Roman" w:hAnsi="Times New Roman"/>
        </w:rPr>
        <w:t xml:space="preserve"> pateikti pasiūlymų vertinimų balais aprašymai (kada pasiūlymas vertinamas – Gerai (61-80), o kada – Labai gerai (81-100)) iš esmės sutampa</w:t>
      </w:r>
      <w:r w:rsidRPr="008A748F">
        <w:rPr>
          <w:rFonts w:ascii="Times New Roman" w:hAnsi="Times New Roman"/>
        </w:rPr>
        <w:t>.</w:t>
      </w:r>
    </w:p>
  </w:footnote>
  <w:footnote w:id="10">
    <w:p w14:paraId="6CE93540" w14:textId="77777777" w:rsidR="008B391B" w:rsidRPr="00A414AA" w:rsidRDefault="008B391B" w:rsidP="00DA6BA5">
      <w:pPr>
        <w:pStyle w:val="FootnoteText"/>
        <w:spacing w:before="0"/>
        <w:ind w:firstLine="284"/>
        <w:rPr>
          <w:rFonts w:ascii="Times New Roman" w:hAnsi="Times New Roman"/>
        </w:rPr>
      </w:pPr>
      <w:r w:rsidRPr="00A414AA">
        <w:rPr>
          <w:rStyle w:val="FootnoteReference"/>
          <w:rFonts w:ascii="Times New Roman" w:hAnsi="Times New Roman"/>
        </w:rPr>
        <w:footnoteRef/>
      </w:r>
      <w:r w:rsidR="00D730E5">
        <w:rPr>
          <w:rFonts w:ascii="Times New Roman" w:hAnsi="Times New Roman"/>
        </w:rPr>
        <w:t xml:space="preserve"> Žr. išnašą Nr.</w:t>
      </w:r>
      <w:r w:rsidR="003B4E55">
        <w:rPr>
          <w:rFonts w:ascii="Times New Roman" w:hAnsi="Times New Roman"/>
        </w:rPr>
        <w:t xml:space="preserve"> 3</w:t>
      </w:r>
      <w:r w:rsidRPr="00A414AA">
        <w:rPr>
          <w:rFonts w:ascii="Times New Roman" w:hAnsi="Times New Roman"/>
        </w:rPr>
        <w:t>.</w:t>
      </w:r>
    </w:p>
  </w:footnote>
  <w:footnote w:id="11">
    <w:p w14:paraId="49ACD7B4" w14:textId="77777777" w:rsidR="008B391B" w:rsidRPr="00A414AA" w:rsidRDefault="008B391B" w:rsidP="00DA6BA5">
      <w:pPr>
        <w:pStyle w:val="FootnoteText"/>
        <w:spacing w:before="0"/>
        <w:ind w:firstLine="284"/>
        <w:rPr>
          <w:rFonts w:ascii="Times New Roman" w:hAnsi="Times New Roman"/>
        </w:rPr>
      </w:pPr>
      <w:r w:rsidRPr="00A414AA">
        <w:rPr>
          <w:rStyle w:val="FootnoteReference"/>
          <w:rFonts w:ascii="Times New Roman" w:hAnsi="Times New Roman"/>
        </w:rPr>
        <w:footnoteRef/>
      </w:r>
      <w:r w:rsidRPr="00A414AA">
        <w:rPr>
          <w:rFonts w:ascii="Times New Roman" w:hAnsi="Times New Roman"/>
        </w:rPr>
        <w:t xml:space="preserve"> </w:t>
      </w:r>
      <w:r w:rsidR="003B4E55">
        <w:rPr>
          <w:rFonts w:ascii="Times New Roman" w:hAnsi="Times New Roman"/>
        </w:rPr>
        <w:t>Žr. išnašą Nr. 4</w:t>
      </w:r>
      <w:r w:rsidRPr="00A414AA">
        <w:rPr>
          <w:rFonts w:ascii="Times New Roman" w:hAnsi="Times New Roman"/>
        </w:rPr>
        <w:t>.</w:t>
      </w:r>
    </w:p>
  </w:footnote>
  <w:footnote w:id="12">
    <w:p w14:paraId="06DBED2F" w14:textId="77777777" w:rsidR="006832FB" w:rsidRPr="00C6741D" w:rsidRDefault="006832FB" w:rsidP="00DA6BA5">
      <w:pPr>
        <w:pStyle w:val="FootnoteText"/>
        <w:spacing w:before="0"/>
        <w:ind w:firstLine="284"/>
        <w:rPr>
          <w:rFonts w:ascii="Times New Roman" w:hAnsi="Times New Roman"/>
        </w:rPr>
      </w:pPr>
      <w:r w:rsidRPr="00C6741D">
        <w:rPr>
          <w:rStyle w:val="FootnoteReference"/>
          <w:rFonts w:ascii="Times New Roman" w:hAnsi="Times New Roman"/>
        </w:rPr>
        <w:footnoteRef/>
      </w:r>
      <w:r w:rsidR="00EF1FDE" w:rsidRPr="00C6741D">
        <w:rPr>
          <w:rFonts w:ascii="Times New Roman" w:hAnsi="Times New Roman"/>
        </w:rPr>
        <w:t xml:space="preserve"> </w:t>
      </w:r>
      <w:r w:rsidRPr="00C6741D">
        <w:rPr>
          <w:rFonts w:ascii="Times New Roman" w:hAnsi="Times New Roman"/>
        </w:rPr>
        <w:t>„Perkančioji organizacija, išskyrus šio straipsnio 5 ir 6 dalyse nurodytus atvejus, supaprastintus pirkimus atlieka pagal pasitvirtintas taisykles, kurias ne vėliau kaip per 3 darbo dienas nuo jų patvirtinimo paskelbia šio įstatymo 86 straipsnyje nustatyta tvarka Centrinėje viešųjų pirkimų informacinėje sistemoje ir savo tinklalapyje, jeigu toks yra, taip pat sudaro kitas galimybes tiekėjams susipažinti su šiomis taisyklėmis“.</w:t>
      </w:r>
    </w:p>
  </w:footnote>
  <w:footnote w:id="13">
    <w:p w14:paraId="3E26E0EB" w14:textId="77777777" w:rsidR="006832FB" w:rsidRPr="00A414AA" w:rsidRDefault="006832FB" w:rsidP="00DA6BA5">
      <w:pPr>
        <w:pStyle w:val="FootnoteText"/>
        <w:spacing w:before="0"/>
        <w:ind w:firstLine="284"/>
        <w:rPr>
          <w:rFonts w:ascii="Times New Roman" w:hAnsi="Times New Roman"/>
        </w:rPr>
      </w:pPr>
      <w:r w:rsidRPr="00A414AA">
        <w:rPr>
          <w:rStyle w:val="FootnoteReference"/>
          <w:rFonts w:ascii="Times New Roman" w:hAnsi="Times New Roman"/>
        </w:rPr>
        <w:footnoteRef/>
      </w:r>
      <w:r w:rsidR="00EF1FDE">
        <w:rPr>
          <w:rFonts w:ascii="Times New Roman" w:hAnsi="Times New Roman"/>
        </w:rPr>
        <w:t xml:space="preserve"> </w:t>
      </w:r>
      <w:r>
        <w:rPr>
          <w:rFonts w:ascii="Times New Roman" w:hAnsi="Times New Roman"/>
        </w:rPr>
        <w:t>„Pasirinkdamas tiekėją</w:t>
      </w:r>
      <w:r w:rsidR="00EF1FDE">
        <w:rPr>
          <w:rFonts w:ascii="Times New Roman" w:hAnsi="Times New Roman"/>
        </w:rPr>
        <w:t>, Departamentas,</w:t>
      </w:r>
      <w:r w:rsidRPr="00AD61C6">
        <w:rPr>
          <w:rFonts w:ascii="Times New Roman" w:hAnsi="Times New Roman"/>
        </w:rPr>
        <w:t xml:space="preserve"> vadovaudamasi</w:t>
      </w:r>
      <w:r w:rsidR="00EF1FDE">
        <w:rPr>
          <w:rFonts w:ascii="Times New Roman" w:hAnsi="Times New Roman"/>
        </w:rPr>
        <w:t>s</w:t>
      </w:r>
      <w:r w:rsidRPr="00AD61C6">
        <w:rPr>
          <w:rFonts w:ascii="Times New Roman" w:hAnsi="Times New Roman"/>
        </w:rPr>
        <w:t xml:space="preserve"> Viešųjų pirkimų įstatymo 32–38 straipsni</w:t>
      </w:r>
      <w:r w:rsidR="00EF1FDE">
        <w:rPr>
          <w:rFonts w:ascii="Times New Roman" w:hAnsi="Times New Roman"/>
        </w:rPr>
        <w:t>uose</w:t>
      </w:r>
      <w:r w:rsidRPr="00AD61C6">
        <w:rPr>
          <w:rFonts w:ascii="Times New Roman" w:hAnsi="Times New Roman"/>
        </w:rPr>
        <w:t xml:space="preserve"> nu</w:t>
      </w:r>
      <w:r w:rsidR="00EF1FDE">
        <w:rPr>
          <w:rFonts w:ascii="Times New Roman" w:hAnsi="Times New Roman"/>
        </w:rPr>
        <w:t>statytais reikalavimais ir</w:t>
      </w:r>
      <w:r w:rsidRPr="00AD61C6">
        <w:rPr>
          <w:rFonts w:ascii="Times New Roman" w:hAnsi="Times New Roman"/>
        </w:rPr>
        <w:t xml:space="preserve"> atsižvelgdama</w:t>
      </w:r>
      <w:r w:rsidR="00EF1FDE">
        <w:rPr>
          <w:rFonts w:ascii="Times New Roman" w:hAnsi="Times New Roman"/>
        </w:rPr>
        <w:t>s</w:t>
      </w:r>
      <w:r w:rsidRPr="00AD61C6">
        <w:rPr>
          <w:rFonts w:ascii="Times New Roman" w:hAnsi="Times New Roman"/>
        </w:rPr>
        <w:t xml:space="preserve"> į Tiekėjų kvalifikacijos vertinimo metodines rekomendacijas, patvirtintas Viešųjų pirkimų tarnybos  direktoriaus 2003 m. </w:t>
      </w:r>
      <w:r>
        <w:rPr>
          <w:rFonts w:ascii="Times New Roman" w:hAnsi="Times New Roman"/>
        </w:rPr>
        <w:t>spalio 20 d. įsakymu Nr. 1S-100</w:t>
      </w:r>
      <w:r w:rsidR="00EF1FDE">
        <w:rPr>
          <w:rFonts w:ascii="Times New Roman" w:hAnsi="Times New Roman"/>
        </w:rPr>
        <w:t xml:space="preserve"> „Dėl t</w:t>
      </w:r>
      <w:r w:rsidR="00EF1FDE" w:rsidRPr="00AD61C6">
        <w:rPr>
          <w:rFonts w:ascii="Times New Roman" w:hAnsi="Times New Roman"/>
        </w:rPr>
        <w:t>iekėjų kvalifikacijos vertinimo metodin</w:t>
      </w:r>
      <w:r w:rsidR="00EF1FDE">
        <w:rPr>
          <w:rFonts w:ascii="Times New Roman" w:hAnsi="Times New Roman"/>
        </w:rPr>
        <w:t>ių rekomendacijų</w:t>
      </w:r>
      <w:r w:rsidR="00EF1FDE" w:rsidRPr="00AD61C6">
        <w:rPr>
          <w:rFonts w:ascii="Times New Roman" w:hAnsi="Times New Roman"/>
        </w:rPr>
        <w:t xml:space="preserve"> patvirtin</w:t>
      </w:r>
      <w:r w:rsidR="00EF1FDE">
        <w:rPr>
          <w:rFonts w:ascii="Times New Roman" w:hAnsi="Times New Roman"/>
        </w:rPr>
        <w:t>imo“, įsitikina ar tiekėjas bus pajėgus įvykdyti pirkimo sutartį</w:t>
      </w:r>
      <w:r>
        <w:rPr>
          <w:rFonts w:ascii="Times New Roman" w:hAnsi="Times New Roman"/>
        </w:rPr>
        <w:t>“.</w:t>
      </w:r>
    </w:p>
  </w:footnote>
  <w:footnote w:id="14">
    <w:p w14:paraId="748F5DBA" w14:textId="77777777" w:rsidR="006832FB" w:rsidRPr="00A414AA" w:rsidRDefault="006832FB" w:rsidP="00DA6BA5">
      <w:pPr>
        <w:pStyle w:val="FootnoteText"/>
        <w:spacing w:before="0"/>
        <w:ind w:firstLine="284"/>
        <w:rPr>
          <w:rFonts w:ascii="Times New Roman" w:hAnsi="Times New Roman"/>
        </w:rPr>
      </w:pPr>
      <w:r w:rsidRPr="00A414AA">
        <w:rPr>
          <w:rStyle w:val="FootnoteReference"/>
          <w:rFonts w:ascii="Times New Roman" w:hAnsi="Times New Roman"/>
        </w:rPr>
        <w:footnoteRef/>
      </w:r>
      <w:r w:rsidRPr="00A414AA">
        <w:rPr>
          <w:rFonts w:ascii="Times New Roman" w:hAnsi="Times New Roman"/>
        </w:rPr>
        <w:t xml:space="preserve"> </w:t>
      </w:r>
      <w:r>
        <w:rPr>
          <w:rFonts w:ascii="Times New Roman" w:hAnsi="Times New Roman"/>
        </w:rPr>
        <w:t>„</w:t>
      </w:r>
      <w:r w:rsidR="00DA6BA5" w:rsidRPr="00DA6BA5">
        <w:rPr>
          <w:rFonts w:ascii="Times New Roman" w:hAnsi="Times New Roman"/>
        </w:rPr>
        <w:t>Perkančiosios organizacijos nustatyti minimalūs kandidatų ar dalyvių kvalifikacijos reikalavimai negali dirbtinai riboti konkurencijos. Jie turi būti pagrįsti ir proporcingi pirkimo objektui, tikslūs ir aiškūs. Keliami reikalavimai negali pažeisti tiekėjo teisės saugoti intelektinę nuosavybę, gamybos ir komercinę paslaptį. Kvalifikacijos ir informacijos bei dokumentų, kuriuos turi pateikti kandidatai ar dalyviai, reikalavimai nustatomi vadovaujantis šio įstatymo 33, 34, 35, 36, 37 ir 38 straipsnių nuostatomis. Kompetentingų valstybės ir savivaldybių institucijų reikalavimu perkančioji organizacija privalo pateikti kvalifikacijos reikalavimų pagrindimą</w:t>
      </w:r>
      <w:r>
        <w:rPr>
          <w:rFonts w:ascii="Times New Roman" w:hAnsi="Times New Roman"/>
        </w:rPr>
        <w:t>“.</w:t>
      </w:r>
    </w:p>
  </w:footnote>
  <w:footnote w:id="15">
    <w:p w14:paraId="3B0B97EA" w14:textId="77777777" w:rsidR="007101DE" w:rsidRPr="00A414AA" w:rsidRDefault="007101DE" w:rsidP="007101DE">
      <w:pPr>
        <w:pStyle w:val="FootnoteText"/>
        <w:spacing w:before="0"/>
        <w:ind w:firstLine="284"/>
        <w:rPr>
          <w:rFonts w:ascii="Times New Roman" w:hAnsi="Times New Roman"/>
        </w:rPr>
      </w:pPr>
      <w:r w:rsidRPr="00A414AA">
        <w:rPr>
          <w:rStyle w:val="FootnoteReference"/>
          <w:rFonts w:ascii="Times New Roman" w:hAnsi="Times New Roman"/>
        </w:rPr>
        <w:footnoteRef/>
      </w:r>
      <w:r w:rsidRPr="00A414AA">
        <w:rPr>
          <w:rFonts w:ascii="Times New Roman" w:hAnsi="Times New Roman"/>
        </w:rPr>
        <w:t xml:space="preserve"> </w:t>
      </w:r>
      <w:r w:rsidRPr="007101DE">
        <w:rPr>
          <w:rFonts w:ascii="Times New Roman" w:hAnsi="Times New Roman"/>
        </w:rPr>
        <w:t>Pirkimo sąlygų priedo Nr. 2 „Techninė specifikacija &lt;...&gt;“  4.1 punkte numatyta bendra mokymo programų trukmė – 60 akademinių valandų (24 akad. val. pirmos mokymo programos trukmė + 12 akad. val. antros mokymo programos + 12 akad. val. trečios mokymo programos + 12 akad. val. ketvirtos mokymo programos). Techninės specifikacijos 6.1 punkte nurodyta, kad „Iš viso pagal kiekvieną mokymo programą (4.1 papunktis) turės būti suorganizuota ne mažiau nei po 40 mokymo renginių &lt;...&gt;“. Numatytą mokymo programų trukmę (60 akademinių valandų) padauginus iš planuojamų mokymo renginių skaičiaus, gaunama bendra Pirkimo objekto trukmė – 2400 akad. valandų.</w:t>
      </w:r>
    </w:p>
  </w:footnote>
  <w:footnote w:id="16">
    <w:p w14:paraId="46CFC2DA" w14:textId="77777777" w:rsidR="00650D9C" w:rsidRPr="00C6741D" w:rsidRDefault="00650D9C" w:rsidP="00650D9C">
      <w:pPr>
        <w:pStyle w:val="FootnoteText"/>
        <w:spacing w:before="0"/>
        <w:ind w:firstLine="284"/>
        <w:rPr>
          <w:rFonts w:ascii="Times New Roman" w:hAnsi="Times New Roman"/>
        </w:rPr>
      </w:pPr>
      <w:r w:rsidRPr="00C6741D">
        <w:rPr>
          <w:rStyle w:val="FootnoteReference"/>
          <w:rFonts w:ascii="Times New Roman" w:hAnsi="Times New Roman"/>
        </w:rPr>
        <w:footnoteRef/>
      </w:r>
      <w:r w:rsidRPr="00C6741D">
        <w:rPr>
          <w:rFonts w:ascii="Times New Roman" w:hAnsi="Times New Roman"/>
        </w:rPr>
        <w:t xml:space="preserve"> </w:t>
      </w:r>
      <w:r>
        <w:rPr>
          <w:rFonts w:ascii="Times New Roman" w:hAnsi="Times New Roman"/>
        </w:rPr>
        <w:t xml:space="preserve">Žr. išnašą Nr. </w:t>
      </w:r>
      <w:r w:rsidR="003B4E55">
        <w:rPr>
          <w:rFonts w:ascii="Times New Roman" w:hAnsi="Times New Roman"/>
        </w:rPr>
        <w:t>11</w:t>
      </w:r>
      <w:r w:rsidRPr="00C6741D">
        <w:rPr>
          <w:rFonts w:ascii="Times New Roman" w:hAnsi="Times New Roman"/>
        </w:rPr>
        <w:t>.</w:t>
      </w:r>
    </w:p>
  </w:footnote>
  <w:footnote w:id="17">
    <w:p w14:paraId="2B72ECAE" w14:textId="77777777" w:rsidR="00650D9C" w:rsidRPr="00A414AA" w:rsidRDefault="00650D9C" w:rsidP="00650D9C">
      <w:pPr>
        <w:pStyle w:val="FootnoteText"/>
        <w:spacing w:before="0"/>
        <w:ind w:firstLine="284"/>
        <w:rPr>
          <w:rFonts w:ascii="Times New Roman" w:hAnsi="Times New Roman"/>
        </w:rPr>
      </w:pPr>
      <w:r w:rsidRPr="00A414AA">
        <w:rPr>
          <w:rStyle w:val="FootnoteReference"/>
          <w:rFonts w:ascii="Times New Roman" w:hAnsi="Times New Roman"/>
        </w:rPr>
        <w:footnoteRef/>
      </w:r>
      <w:r>
        <w:rPr>
          <w:rFonts w:ascii="Times New Roman" w:hAnsi="Times New Roman"/>
        </w:rPr>
        <w:t xml:space="preserve"> Žr. išnašą Nr. 12</w:t>
      </w:r>
      <w:r w:rsidRPr="00C6741D">
        <w:rPr>
          <w:rFonts w:ascii="Times New Roman" w:hAnsi="Times New Roman"/>
        </w:rPr>
        <w:t>.</w:t>
      </w:r>
    </w:p>
  </w:footnote>
  <w:footnote w:id="18">
    <w:p w14:paraId="72EE8DA0" w14:textId="77777777" w:rsidR="00650D9C" w:rsidRPr="00A414AA" w:rsidRDefault="00650D9C" w:rsidP="00650D9C">
      <w:pPr>
        <w:pStyle w:val="FootnoteText"/>
        <w:spacing w:before="0"/>
        <w:ind w:firstLine="284"/>
        <w:rPr>
          <w:rFonts w:ascii="Times New Roman" w:hAnsi="Times New Roman"/>
        </w:rPr>
      </w:pPr>
      <w:r w:rsidRPr="00A414AA">
        <w:rPr>
          <w:rStyle w:val="FootnoteReference"/>
          <w:rFonts w:ascii="Times New Roman" w:hAnsi="Times New Roman"/>
        </w:rPr>
        <w:footnoteRef/>
      </w:r>
      <w:r>
        <w:rPr>
          <w:rFonts w:ascii="Times New Roman" w:hAnsi="Times New Roman"/>
        </w:rPr>
        <w:t xml:space="preserve"> „</w:t>
      </w:r>
      <w:r w:rsidRPr="00034506">
        <w:rPr>
          <w:rFonts w:ascii="Times New Roman" w:hAnsi="Times New Roman"/>
        </w:rPr>
        <w:t>Perkančioji organizacija privalo išsiaiškinti, ar tiekėjas yra kompetentingas, patikimas ir pajėgus įvykdyti pirkimo sąlygas, todėl ji turi teisę skelbime apie pirkimą ar kituose pirkimo dokumentuose nustatyti minimalius kandidatų ar dalyvių kvalifikacijos (teisės verstis atitinkama veikla, finansinio, ekonominio ir techninio pajėgumo) reikalavimus ir pareikalauti, kad kandidatai ar dalyviai pateiktų pirkimo dokumentuose nurodytą informaciją ir kvalifikaciją patvirtinančius dokumentus. Minimalūs kvalifikacijos reikalavimai nustatomi vadovaujantis šio įstatymo 35–37 straipsnių nuostatomis</w:t>
      </w:r>
      <w:r>
        <w:rPr>
          <w:rFonts w:ascii="Times New Roman" w:hAnsi="Times New Roman"/>
        </w:rPr>
        <w:t>“</w:t>
      </w:r>
      <w:r w:rsidRPr="00C6741D">
        <w:rPr>
          <w:rFonts w:ascii="Times New Roman" w:hAnsi="Times New Roman"/>
        </w:rPr>
        <w:t>.</w:t>
      </w:r>
    </w:p>
  </w:footnote>
  <w:footnote w:id="19">
    <w:p w14:paraId="44BC18BA" w14:textId="77777777" w:rsidR="00650D9C" w:rsidRPr="00A414AA" w:rsidRDefault="00650D9C" w:rsidP="00650D9C">
      <w:pPr>
        <w:pStyle w:val="FootnoteText"/>
        <w:spacing w:before="0"/>
        <w:ind w:firstLine="284"/>
        <w:rPr>
          <w:rFonts w:ascii="Times New Roman" w:hAnsi="Times New Roman"/>
        </w:rPr>
      </w:pPr>
      <w:r w:rsidRPr="00A414AA">
        <w:rPr>
          <w:rStyle w:val="FootnoteReference"/>
          <w:rFonts w:ascii="Times New Roman" w:hAnsi="Times New Roman"/>
        </w:rPr>
        <w:footnoteRef/>
      </w:r>
      <w:r w:rsidRPr="00A414AA">
        <w:rPr>
          <w:rFonts w:ascii="Times New Roman" w:hAnsi="Times New Roman"/>
        </w:rPr>
        <w:t xml:space="preserve"> </w:t>
      </w:r>
      <w:r>
        <w:rPr>
          <w:rFonts w:ascii="Times New Roman" w:hAnsi="Times New Roman"/>
        </w:rPr>
        <w:t xml:space="preserve">Žr. išnašą Nr. </w:t>
      </w:r>
      <w:r w:rsidR="00E30FB2">
        <w:rPr>
          <w:rFonts w:ascii="Times New Roman" w:hAnsi="Times New Roman"/>
        </w:rPr>
        <w:t>13</w:t>
      </w:r>
      <w:r w:rsidRPr="00C6741D">
        <w:rPr>
          <w:rFonts w:ascii="Times New Roman" w:hAnsi="Times New Roman"/>
        </w:rPr>
        <w:t>.</w:t>
      </w:r>
    </w:p>
  </w:footnote>
  <w:footnote w:id="20">
    <w:p w14:paraId="7F0D7D18" w14:textId="77777777" w:rsidR="00650D9C" w:rsidRPr="00A414AA" w:rsidRDefault="00650D9C" w:rsidP="00650D9C">
      <w:pPr>
        <w:pStyle w:val="FootnoteText"/>
        <w:spacing w:before="0"/>
        <w:ind w:firstLine="284"/>
        <w:rPr>
          <w:rFonts w:ascii="Times New Roman" w:hAnsi="Times New Roman"/>
        </w:rPr>
      </w:pPr>
      <w:r w:rsidRPr="00196CE1">
        <w:rPr>
          <w:rStyle w:val="FootnoteReference"/>
          <w:rFonts w:ascii="Times New Roman" w:hAnsi="Times New Roman"/>
        </w:rPr>
        <w:footnoteRef/>
      </w:r>
      <w:r w:rsidRPr="00196CE1">
        <w:rPr>
          <w:rFonts w:ascii="Times New Roman" w:hAnsi="Times New Roman"/>
        </w:rPr>
        <w:t xml:space="preserve"> </w:t>
      </w:r>
      <w:r w:rsidRPr="00A414AA">
        <w:rPr>
          <w:rFonts w:ascii="Times New Roman" w:hAnsi="Times New Roman"/>
        </w:rPr>
        <w:t>„</w:t>
      </w:r>
      <w:r w:rsidRPr="00557F09">
        <w:rPr>
          <w:rFonts w:ascii="Times New Roman" w:hAnsi="Times New Roman"/>
        </w:rPr>
        <w:t>Perkančioji organizacija turi teisę pirkimo dokumentuose pareikalauti, kad kandidatas ar dalyvis turėtų teisę verstis ta veikla, kuri reikalinga pirkimo sutarčiai įvykdyti. Teisę verstis tokia veikla kandidatas ar dalyvis gali įrodyti pateikdamas profesinių ar veiklos registrų tvarkytojų, valstybės įgaliotų institucijų pažymas, kaip yra nustatyta toje valstybėje narėje, kurioje jis registruotas, ar priesaikos deklaraciją, liudijančią kandidato ar dalyvio teisę verstis atitinkama veikla</w:t>
      </w:r>
      <w:r w:rsidRPr="00A414AA">
        <w:rPr>
          <w:rFonts w:ascii="Times New Roman" w:hAnsi="Times New Roman"/>
        </w:rPr>
        <w:t>“.</w:t>
      </w:r>
    </w:p>
  </w:footnote>
  <w:footnote w:id="21">
    <w:p w14:paraId="438506A4" w14:textId="77777777" w:rsidR="00EA19D2" w:rsidRPr="00A414AA" w:rsidRDefault="00EA19D2" w:rsidP="00EA19D2">
      <w:pPr>
        <w:pStyle w:val="FootnoteText"/>
        <w:spacing w:before="0"/>
        <w:rPr>
          <w:rFonts w:ascii="Times New Roman" w:hAnsi="Times New Roman"/>
        </w:rPr>
      </w:pPr>
      <w:r w:rsidRPr="00A414AA">
        <w:rPr>
          <w:rStyle w:val="FootnoteReference"/>
          <w:rFonts w:ascii="Times New Roman" w:hAnsi="Times New Roman"/>
        </w:rPr>
        <w:footnoteRef/>
      </w:r>
      <w:r w:rsidRPr="00A414AA">
        <w:rPr>
          <w:rFonts w:ascii="Times New Roman" w:hAnsi="Times New Roman"/>
        </w:rPr>
        <w:t xml:space="preserve"> „</w:t>
      </w:r>
      <w:r>
        <w:rPr>
          <w:rFonts w:ascii="Times New Roman" w:hAnsi="Times New Roman"/>
        </w:rPr>
        <w:t>Pirkimo sutarties sudarymo ir jos turinio reikalavimus nustato Viešųjų pirkimų įstatymo 18 straipsnis &lt;...&gt;</w:t>
      </w:r>
      <w:r w:rsidRPr="00A414AA">
        <w:rPr>
          <w:rFonts w:ascii="Times New Roman" w:hAnsi="Times New Roman"/>
        </w:rPr>
        <w:t>“</w:t>
      </w:r>
      <w:r>
        <w:rPr>
          <w:rFonts w:ascii="Times New Roman" w:hAnsi="Times New Roman"/>
        </w:rPr>
        <w:t>.</w:t>
      </w:r>
    </w:p>
  </w:footnote>
  <w:footnote w:id="22">
    <w:p w14:paraId="615CA468" w14:textId="77777777" w:rsidR="00EA19D2" w:rsidRPr="00A414AA" w:rsidRDefault="00EA19D2" w:rsidP="00EA19D2">
      <w:pPr>
        <w:pStyle w:val="FootnoteText"/>
        <w:spacing w:before="0"/>
        <w:rPr>
          <w:rFonts w:ascii="Times New Roman" w:hAnsi="Times New Roman"/>
        </w:rPr>
      </w:pPr>
      <w:r w:rsidRPr="00A414AA">
        <w:rPr>
          <w:rStyle w:val="FootnoteReference"/>
          <w:rFonts w:ascii="Times New Roman" w:hAnsi="Times New Roman"/>
        </w:rPr>
        <w:footnoteRef/>
      </w:r>
      <w:r w:rsidRPr="00A414AA">
        <w:rPr>
          <w:rFonts w:ascii="Times New Roman" w:hAnsi="Times New Roman"/>
        </w:rPr>
        <w:t xml:space="preserve"> „</w:t>
      </w:r>
      <w:r w:rsidRPr="002F05CA">
        <w:rPr>
          <w:rFonts w:ascii="Times New Roman" w:hAnsi="Times New Roman"/>
        </w:rPr>
        <w:t>Pirkimo sutart</w:t>
      </w:r>
      <w:r>
        <w:rPr>
          <w:rFonts w:ascii="Times New Roman" w:hAnsi="Times New Roman"/>
        </w:rPr>
        <w:t>yje, kai ji suda</w:t>
      </w:r>
      <w:r w:rsidRPr="002F05CA">
        <w:rPr>
          <w:rFonts w:ascii="Times New Roman" w:hAnsi="Times New Roman"/>
        </w:rPr>
        <w:t>roma raštu, turi būti nustatyta:</w:t>
      </w:r>
      <w:r>
        <w:rPr>
          <w:rFonts w:ascii="Times New Roman" w:hAnsi="Times New Roman"/>
        </w:rPr>
        <w:t xml:space="preserve"> </w:t>
      </w:r>
      <w:r w:rsidRPr="00EA19D2">
        <w:rPr>
          <w:rFonts w:ascii="Times New Roman" w:hAnsi="Times New Roman"/>
        </w:rPr>
        <w:t>kainodaros taisyklės, nustatytos pagal Lietuvos Respublikos Vyriausybės arba jos įgaliotos institucijos patvirtintą metodiką</w:t>
      </w:r>
      <w:r w:rsidRPr="00A414AA">
        <w:rPr>
          <w:rFonts w:ascii="Times New Roman" w:hAnsi="Times New Roman"/>
        </w:rPr>
        <w:t>“</w:t>
      </w:r>
      <w:r>
        <w:rPr>
          <w:rFonts w:ascii="Times New Roman" w:hAnsi="Times New Roman"/>
        </w:rPr>
        <w:t>.</w:t>
      </w:r>
    </w:p>
  </w:footnote>
  <w:footnote w:id="23">
    <w:p w14:paraId="3A1C1A06" w14:textId="77777777" w:rsidR="00D27451" w:rsidRPr="00A414AA" w:rsidRDefault="00D27451" w:rsidP="00D27451">
      <w:pPr>
        <w:pStyle w:val="FootnoteText"/>
        <w:spacing w:before="0"/>
        <w:ind w:firstLine="284"/>
        <w:rPr>
          <w:rFonts w:ascii="Times New Roman" w:hAnsi="Times New Roman"/>
        </w:rPr>
      </w:pPr>
      <w:r w:rsidRPr="00A414AA">
        <w:rPr>
          <w:rStyle w:val="FootnoteReference"/>
          <w:rFonts w:ascii="Times New Roman" w:hAnsi="Times New Roman"/>
        </w:rPr>
        <w:footnoteRef/>
      </w:r>
      <w:r w:rsidRPr="00A414AA">
        <w:rPr>
          <w:rFonts w:ascii="Times New Roman" w:hAnsi="Times New Roman"/>
        </w:rPr>
        <w:t xml:space="preserve"> </w:t>
      </w:r>
      <w:r>
        <w:rPr>
          <w:rFonts w:ascii="Times New Roman" w:hAnsi="Times New Roman"/>
        </w:rPr>
        <w:t xml:space="preserve">Žr. išnašą Nr. </w:t>
      </w:r>
      <w:r w:rsidR="007E6F2F">
        <w:rPr>
          <w:rFonts w:ascii="Times New Roman" w:hAnsi="Times New Roman"/>
        </w:rPr>
        <w:t>3</w:t>
      </w:r>
      <w:r w:rsidRPr="00A414AA">
        <w:rPr>
          <w:rFonts w:ascii="Times New Roman" w:hAnsi="Times New Roman"/>
        </w:rPr>
        <w:t>.</w:t>
      </w:r>
    </w:p>
  </w:footnote>
  <w:footnote w:id="24">
    <w:p w14:paraId="631F35C3" w14:textId="77777777" w:rsidR="004B1A0A" w:rsidRPr="00A414AA" w:rsidRDefault="004B1A0A" w:rsidP="004B1A0A">
      <w:pPr>
        <w:pStyle w:val="FootnoteText"/>
        <w:spacing w:before="0"/>
        <w:rPr>
          <w:rFonts w:ascii="Times New Roman" w:hAnsi="Times New Roman"/>
        </w:rPr>
      </w:pPr>
      <w:r w:rsidRPr="00A414AA">
        <w:rPr>
          <w:rStyle w:val="FootnoteReference"/>
          <w:rFonts w:ascii="Times New Roman" w:hAnsi="Times New Roman"/>
        </w:rPr>
        <w:footnoteRef/>
      </w:r>
      <w:r w:rsidRPr="00A414AA">
        <w:rPr>
          <w:rFonts w:ascii="Times New Roman" w:hAnsi="Times New Roman"/>
        </w:rPr>
        <w:t xml:space="preserve"> „</w:t>
      </w:r>
      <w:r w:rsidRPr="004B1A0A">
        <w:rPr>
          <w:rFonts w:ascii="Times New Roman" w:hAnsi="Times New Roman"/>
        </w:rPr>
        <w:t>Perkančiosios organizacijos, išskyrus Lietuvos Respublikos diplomatines atstovybes, konsulines įstaigas užsienyje ir Lietuvos Respublikos atstovybes prie tarptautinių organizacijų, privalo įsigyti prekes, paslaugas ir darbus iš centrinės perkančiosios organizacijos arba per ją, kai centrinės perkančiosios organizacijos kataloge siūlomos prekės, paslaugos ar darbai atitinka perkančiosios organizacijos poreikius ir perkančioji organizacija negali jų atlikti efektyvesniu būdu racionaliai naudodama tam skirtas lėšas. Perkančiosios organizacijos privalo motyvuoti savo sprendimą neatlikti centrinės perkančiosios organizacijos kataloge siūlomų prekių, paslaugų ar darbų pirkimo ir saugoti tai patvirtinantį dokumentą kartu su kitais pirkimo dokumentais šio įstatymo 21 straipsnyje nustatyta tvarka</w:t>
      </w:r>
      <w:r w:rsidRPr="00A414AA">
        <w:rPr>
          <w:rFonts w:ascii="Times New Roman" w:hAnsi="Times New Roman"/>
        </w:rPr>
        <w:t>“</w:t>
      </w:r>
      <w:r>
        <w:rPr>
          <w:rFonts w:ascii="Times New Roman" w:hAnsi="Times New Roman"/>
        </w:rPr>
        <w:t>.</w:t>
      </w:r>
    </w:p>
  </w:footnote>
  <w:footnote w:id="25">
    <w:p w14:paraId="3F5E7506" w14:textId="77777777" w:rsidR="00D378B0" w:rsidRPr="00A414AA" w:rsidRDefault="00D378B0" w:rsidP="004B1A0A">
      <w:pPr>
        <w:pStyle w:val="FootnoteText"/>
        <w:spacing w:before="0"/>
        <w:rPr>
          <w:rFonts w:ascii="Times New Roman" w:hAnsi="Times New Roman"/>
        </w:rPr>
      </w:pPr>
      <w:r w:rsidRPr="00D64DF7">
        <w:rPr>
          <w:rStyle w:val="FootnoteReference"/>
          <w:rFonts w:ascii="Times New Roman" w:hAnsi="Times New Roman"/>
        </w:rPr>
        <w:footnoteRef/>
      </w:r>
      <w:r w:rsidRPr="00D64DF7">
        <w:rPr>
          <w:rFonts w:ascii="Times New Roman" w:hAnsi="Times New Roman"/>
        </w:rPr>
        <w:t xml:space="preserve"> </w:t>
      </w:r>
      <w:r w:rsidR="00946CD2">
        <w:rPr>
          <w:rFonts w:ascii="Times New Roman" w:hAnsi="Times New Roman"/>
        </w:rPr>
        <w:t>Žr. išnašą Nr. 2.</w:t>
      </w:r>
    </w:p>
  </w:footnote>
  <w:footnote w:id="26">
    <w:p w14:paraId="25BC3256" w14:textId="77777777" w:rsidR="004B1A0A" w:rsidRPr="00A414AA" w:rsidRDefault="004B1A0A" w:rsidP="004B1A0A">
      <w:pPr>
        <w:pStyle w:val="FootnoteText"/>
        <w:spacing w:before="0"/>
        <w:rPr>
          <w:rFonts w:ascii="Times New Roman" w:hAnsi="Times New Roman"/>
        </w:rPr>
      </w:pPr>
      <w:r w:rsidRPr="00A414AA">
        <w:rPr>
          <w:rStyle w:val="FootnoteReference"/>
          <w:rFonts w:ascii="Times New Roman" w:hAnsi="Times New Roman"/>
        </w:rPr>
        <w:footnoteRef/>
      </w:r>
      <w:r w:rsidRPr="00A414AA">
        <w:rPr>
          <w:rFonts w:ascii="Times New Roman" w:hAnsi="Times New Roman"/>
        </w:rPr>
        <w:t xml:space="preserve"> „</w:t>
      </w:r>
      <w:r w:rsidRPr="004B1A0A">
        <w:rPr>
          <w:rFonts w:ascii="Times New Roman" w:hAnsi="Times New Roman"/>
        </w:rPr>
        <w:t>Šio įstatymo 4 straipsnio 1 dalies 1, 2 ar 3 punktuose nurodyta perkančioji organizacija, išskyrus Lietuvos Respublikos diplomatines atstovybes, konsulines įstaigas užsienyje ir Lietuvos Respublikos atstovybes prie tarptautinių organizacijų, taip pat kitas perkančiąsias organizacijas, kurios užsienyje įsigyja prekių, paslaugų ar darbų, skirtų užsienyje esantiems jų padaliniams, kariniams atstovams ar specialiesiems atašė, atlikdama supaprastintus pirkimus, ne mažiau kaip 5 procentus visų supaprastintų pirkimų vertės pirkimų privalo atlikti iš neįgaliųjų socialinių įmonių, socialinių įmonių, įmonių, kuriose dirba daugiau kaip 50 procentų nuteistųjų, atliekančių arešto, terminuoto laisvės atėmimo ir laisvės atėmimo iki gyvos galvos bausmes, arba įmonių, kurių dalyviai yra sveikatos priežiūros įstaigos ir kuriose darbo terapijos pagrindais dirba ne mažiau kaip 50 procentų pacientų, jų pagamintoms prekėms, teikiamoms paslaugoms ar atliekamiems darbams pirkti arba atlikti pagal remiamų asmenų, kurių dauguma yra neįgalieji, įdarbinimo programas, išskyrus atvejus, kai perkančiajai organizacijai reikiamų prekių šios įstaigos ir įmonės negamina, paslaugų neteikia ar darbų neatlieka. Pirkimo dokumentuose ir skelbime apie pirkimą turi būti pažymėta, kad pirkime gali dalyvauti tik šioje dalyje nurodyti tiekėjai, ir reikalaujama pagrįsti, kad tiekėjo įmonė atitinka šio straipsnio reikalavimus (pateikiamas kompetentingos institucijos išduotas dokumentas ar t</w:t>
      </w:r>
      <w:r>
        <w:rPr>
          <w:rFonts w:ascii="Times New Roman" w:hAnsi="Times New Roman"/>
        </w:rPr>
        <w:t>iekėjo patvirtinta deklaracija)</w:t>
      </w:r>
      <w:r w:rsidRPr="00A414AA">
        <w:rPr>
          <w:rFonts w:ascii="Times New Roman" w:hAnsi="Times New Roman"/>
        </w:rPr>
        <w:t>“</w:t>
      </w:r>
    </w:p>
  </w:footnote>
  <w:footnote w:id="27">
    <w:p w14:paraId="3FE3C7D6" w14:textId="77777777" w:rsidR="007E6F2F" w:rsidRPr="00A414AA" w:rsidRDefault="007E6F2F" w:rsidP="007E6F2F">
      <w:pPr>
        <w:pStyle w:val="FootnoteText"/>
        <w:spacing w:before="0"/>
        <w:ind w:firstLine="284"/>
        <w:rPr>
          <w:rFonts w:ascii="Times New Roman" w:hAnsi="Times New Roman"/>
        </w:rPr>
      </w:pPr>
      <w:r w:rsidRPr="00A414AA">
        <w:rPr>
          <w:rStyle w:val="FootnoteReference"/>
          <w:rFonts w:ascii="Times New Roman" w:hAnsi="Times New Roman"/>
        </w:rPr>
        <w:footnoteRef/>
      </w:r>
      <w:r>
        <w:rPr>
          <w:rFonts w:ascii="Times New Roman" w:hAnsi="Times New Roman"/>
        </w:rPr>
        <w:t xml:space="preserve"> Žr. išnašą Nr. 3</w:t>
      </w:r>
      <w:r w:rsidRPr="00A414AA">
        <w:rPr>
          <w:rFonts w:ascii="Times New Roman" w:hAnsi="Times New Roman"/>
        </w:rPr>
        <w:t>.</w:t>
      </w:r>
    </w:p>
  </w:footnote>
  <w:footnote w:id="28">
    <w:p w14:paraId="2076383B" w14:textId="77777777" w:rsidR="00C70581" w:rsidRPr="00A414AA" w:rsidRDefault="00C70581" w:rsidP="003E6595">
      <w:pPr>
        <w:pStyle w:val="FootnoteText"/>
        <w:spacing w:before="0"/>
        <w:rPr>
          <w:rFonts w:ascii="Times New Roman" w:hAnsi="Times New Roman"/>
        </w:rPr>
      </w:pPr>
      <w:r w:rsidRPr="00A414AA">
        <w:rPr>
          <w:rStyle w:val="FootnoteReference"/>
          <w:rFonts w:ascii="Times New Roman" w:hAnsi="Times New Roman"/>
        </w:rPr>
        <w:footnoteRef/>
      </w:r>
      <w:r w:rsidR="00D64DF7">
        <w:rPr>
          <w:rFonts w:ascii="Times New Roman" w:hAnsi="Times New Roman"/>
        </w:rPr>
        <w:t xml:space="preserve"> Žr. išnašą Nr. 21.</w:t>
      </w:r>
    </w:p>
  </w:footnote>
  <w:footnote w:id="29">
    <w:p w14:paraId="725800F4" w14:textId="77777777" w:rsidR="00C70581" w:rsidRPr="00A414AA" w:rsidRDefault="00C70581" w:rsidP="00C70581">
      <w:pPr>
        <w:pStyle w:val="FootnoteText"/>
        <w:spacing w:before="0"/>
        <w:rPr>
          <w:rFonts w:ascii="Times New Roman" w:hAnsi="Times New Roman"/>
        </w:rPr>
      </w:pPr>
      <w:r w:rsidRPr="00A414AA">
        <w:rPr>
          <w:rStyle w:val="FootnoteReference"/>
          <w:rFonts w:ascii="Times New Roman" w:hAnsi="Times New Roman"/>
        </w:rPr>
        <w:footnoteRef/>
      </w:r>
      <w:r w:rsidRPr="00A414AA">
        <w:rPr>
          <w:rFonts w:ascii="Times New Roman" w:hAnsi="Times New Roman"/>
        </w:rPr>
        <w:t xml:space="preserve"> „</w:t>
      </w:r>
      <w:r w:rsidRPr="002F05CA">
        <w:rPr>
          <w:rFonts w:ascii="Times New Roman" w:hAnsi="Times New Roman"/>
        </w:rPr>
        <w:t>Pirkimo sutart</w:t>
      </w:r>
      <w:r>
        <w:rPr>
          <w:rFonts w:ascii="Times New Roman" w:hAnsi="Times New Roman"/>
        </w:rPr>
        <w:t>yje, kai ji suda</w:t>
      </w:r>
      <w:r w:rsidRPr="002F05CA">
        <w:rPr>
          <w:rFonts w:ascii="Times New Roman" w:hAnsi="Times New Roman"/>
        </w:rPr>
        <w:t>roma raštu, turi būti nustatyta:</w:t>
      </w:r>
      <w:r>
        <w:rPr>
          <w:rFonts w:ascii="Times New Roman" w:hAnsi="Times New Roman"/>
        </w:rPr>
        <w:t xml:space="preserve"> </w:t>
      </w:r>
      <w:r w:rsidRPr="002F05CA">
        <w:rPr>
          <w:rFonts w:ascii="Times New Roman" w:hAnsi="Times New Roman"/>
        </w:rPr>
        <w:t>prievolių įvykdymo užtikrinimas</w:t>
      </w:r>
      <w:r w:rsidRPr="00A414AA">
        <w:rPr>
          <w:rFonts w:ascii="Times New Roman" w:hAnsi="Times New Roman"/>
        </w:rPr>
        <w:t>“</w:t>
      </w:r>
      <w:r>
        <w:rPr>
          <w:rFonts w:ascii="Times New Roman" w:hAnsi="Times New Roman"/>
        </w:rPr>
        <w:t>.</w:t>
      </w:r>
    </w:p>
  </w:footnote>
  <w:footnote w:id="30">
    <w:p w14:paraId="35298275" w14:textId="77777777" w:rsidR="00C70581" w:rsidRPr="00A414AA" w:rsidRDefault="00C70581" w:rsidP="00D64DF7">
      <w:pPr>
        <w:pStyle w:val="FootnoteText"/>
        <w:spacing w:before="0"/>
        <w:rPr>
          <w:rFonts w:ascii="Times New Roman" w:hAnsi="Times New Roman"/>
        </w:rPr>
      </w:pPr>
      <w:r w:rsidRPr="00A414AA">
        <w:rPr>
          <w:rStyle w:val="FootnoteReference"/>
          <w:rFonts w:ascii="Times New Roman" w:hAnsi="Times New Roman"/>
        </w:rPr>
        <w:footnoteRef/>
      </w:r>
      <w:r w:rsidR="00D64DF7">
        <w:rPr>
          <w:rFonts w:ascii="Times New Roman" w:hAnsi="Times New Roman"/>
        </w:rPr>
        <w:t xml:space="preserve"> Žr. išnašą Nr. 21</w:t>
      </w:r>
      <w:r>
        <w:rPr>
          <w:rFonts w:ascii="Times New Roman" w:hAnsi="Times New Roman"/>
        </w:rPr>
        <w:t>.</w:t>
      </w:r>
    </w:p>
  </w:footnote>
  <w:footnote w:id="31">
    <w:p w14:paraId="147E990D" w14:textId="77777777" w:rsidR="00A67C3E" w:rsidRPr="00A414AA" w:rsidRDefault="00A67C3E" w:rsidP="00D64DF7">
      <w:pPr>
        <w:pStyle w:val="FootnoteText"/>
        <w:spacing w:before="0"/>
        <w:rPr>
          <w:rFonts w:ascii="Times New Roman" w:hAnsi="Times New Roman"/>
        </w:rPr>
      </w:pPr>
      <w:r w:rsidRPr="00A414AA">
        <w:rPr>
          <w:rStyle w:val="FootnoteReference"/>
          <w:rFonts w:ascii="Times New Roman" w:hAnsi="Times New Roman"/>
        </w:rPr>
        <w:footnoteRef/>
      </w:r>
      <w:r w:rsidRPr="00A414AA">
        <w:rPr>
          <w:rFonts w:ascii="Times New Roman" w:hAnsi="Times New Roman"/>
        </w:rPr>
        <w:t xml:space="preserve"> </w:t>
      </w:r>
      <w:r>
        <w:rPr>
          <w:rFonts w:ascii="Times New Roman" w:hAnsi="Times New Roman"/>
        </w:rPr>
        <w:t>„</w:t>
      </w:r>
      <w:r w:rsidRPr="00A73B37">
        <w:rPr>
          <w:rFonts w:ascii="Times New Roman" w:hAnsi="Times New Roman"/>
        </w:rPr>
        <w:t>Pirkimo sutartyje, kai ji sudaroma raštu, turi būti nustatyta:</w:t>
      </w:r>
      <w:r>
        <w:rPr>
          <w:rFonts w:ascii="Times New Roman" w:hAnsi="Times New Roman"/>
        </w:rPr>
        <w:t xml:space="preserve"> </w:t>
      </w:r>
      <w:r w:rsidRPr="00A73B37">
        <w:rPr>
          <w:rFonts w:ascii="Times New Roman" w:hAnsi="Times New Roman"/>
        </w:rPr>
        <w:t>subrangovai, subtiekėjai ar subteikėjai, jeigu vykdant sutartį jie pasitelkiami, ir jų keitimo tvarka</w:t>
      </w:r>
      <w:r>
        <w:rPr>
          <w:rFonts w:ascii="Times New Roman" w:hAnsi="Times New Roman"/>
        </w:rPr>
        <w:t>“</w:t>
      </w:r>
      <w:r w:rsidRPr="00A414AA">
        <w:rPr>
          <w:rFonts w:ascii="Times New Roman" w:hAnsi="Times New Roman"/>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61E72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BF32F6"/>
    <w:multiLevelType w:val="hybridMultilevel"/>
    <w:tmpl w:val="CD12DAFC"/>
    <w:lvl w:ilvl="0" w:tplc="0427000F">
      <w:start w:val="1"/>
      <w:numFmt w:val="decimal"/>
      <w:lvlText w:val="%1."/>
      <w:lvlJc w:val="left"/>
      <w:pPr>
        <w:ind w:left="502" w:hanging="360"/>
      </w:p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
    <w:nsid w:val="01F07D29"/>
    <w:multiLevelType w:val="hybridMultilevel"/>
    <w:tmpl w:val="7DD86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E22FE3"/>
    <w:multiLevelType w:val="hybridMultilevel"/>
    <w:tmpl w:val="100ACDD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7AF05A1"/>
    <w:multiLevelType w:val="multilevel"/>
    <w:tmpl w:val="56D460A6"/>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5">
    <w:nsid w:val="09275A45"/>
    <w:multiLevelType w:val="multilevel"/>
    <w:tmpl w:val="AA14639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nsid w:val="09C57DEB"/>
    <w:multiLevelType w:val="hybridMultilevel"/>
    <w:tmpl w:val="FA8A31A0"/>
    <w:lvl w:ilvl="0" w:tplc="0427000F">
      <w:start w:val="1"/>
      <w:numFmt w:val="decimal"/>
      <w:lvlText w:val="%1."/>
      <w:lvlJc w:val="left"/>
      <w:pPr>
        <w:ind w:left="644" w:hanging="360"/>
      </w:p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7">
    <w:nsid w:val="13E32D34"/>
    <w:multiLevelType w:val="hybridMultilevel"/>
    <w:tmpl w:val="415235EE"/>
    <w:lvl w:ilvl="0" w:tplc="494C75EC">
      <w:start w:val="5"/>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16642FFD"/>
    <w:multiLevelType w:val="multilevel"/>
    <w:tmpl w:val="149AAB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8B92C19"/>
    <w:multiLevelType w:val="hybridMultilevel"/>
    <w:tmpl w:val="53B828A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1911690C"/>
    <w:multiLevelType w:val="hybridMultilevel"/>
    <w:tmpl w:val="16087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9B139E"/>
    <w:multiLevelType w:val="hybridMultilevel"/>
    <w:tmpl w:val="2DFC7E78"/>
    <w:lvl w:ilvl="0" w:tplc="D5EEC24A">
      <w:numFmt w:val="bullet"/>
      <w:lvlText w:val=""/>
      <w:lvlJc w:val="left"/>
      <w:pPr>
        <w:ind w:left="720" w:hanging="360"/>
      </w:pPr>
      <w:rPr>
        <w:rFonts w:ascii="Symbol" w:eastAsia="Calibr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1C42542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02B536F"/>
    <w:multiLevelType w:val="multilevel"/>
    <w:tmpl w:val="4D6470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9277A97"/>
    <w:multiLevelType w:val="hybridMultilevel"/>
    <w:tmpl w:val="210E8384"/>
    <w:lvl w:ilvl="0" w:tplc="5E542804">
      <w:start w:val="1"/>
      <w:numFmt w:val="decimal"/>
      <w:lvlText w:val="%1."/>
      <w:lvlJc w:val="center"/>
      <w:pPr>
        <w:ind w:left="360" w:hanging="133"/>
      </w:pPr>
      <w:rPr>
        <w:rFonts w:hint="default"/>
        <w:b w:val="0"/>
        <w:i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5">
    <w:nsid w:val="29876DAF"/>
    <w:multiLevelType w:val="hybridMultilevel"/>
    <w:tmpl w:val="462ED76A"/>
    <w:lvl w:ilvl="0" w:tplc="71821F0A">
      <w:start w:val="2"/>
      <w:numFmt w:val="bullet"/>
      <w:lvlText w:val="-"/>
      <w:lvlJc w:val="left"/>
      <w:pPr>
        <w:ind w:left="1211" w:hanging="360"/>
      </w:pPr>
      <w:rPr>
        <w:rFonts w:ascii="Times New Roman" w:eastAsia="Times New Roman"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16">
    <w:nsid w:val="2CD23BB2"/>
    <w:multiLevelType w:val="hybridMultilevel"/>
    <w:tmpl w:val="803261FC"/>
    <w:lvl w:ilvl="0" w:tplc="937213A8">
      <w:start w:val="1"/>
      <w:numFmt w:val="decimal"/>
      <w:lvlText w:val="%1."/>
      <w:lvlJc w:val="center"/>
      <w:pPr>
        <w:ind w:left="360" w:hanging="133"/>
      </w:pPr>
      <w:rPr>
        <w:rFonts w:hint="default"/>
        <w:b w:val="0"/>
        <w:i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7">
    <w:nsid w:val="2E301503"/>
    <w:multiLevelType w:val="hybridMultilevel"/>
    <w:tmpl w:val="5314B78C"/>
    <w:lvl w:ilvl="0" w:tplc="8FCAA23C">
      <w:start w:val="1"/>
      <w:numFmt w:val="bullet"/>
      <w:lvlText w:val="-"/>
      <w:lvlJc w:val="left"/>
      <w:pPr>
        <w:ind w:left="786" w:hanging="360"/>
      </w:pPr>
      <w:rPr>
        <w:rFonts w:ascii="Times New Roman" w:eastAsia="Calibri" w:hAnsi="Times New Roman" w:cs="Times New Roman" w:hint="default"/>
      </w:rPr>
    </w:lvl>
    <w:lvl w:ilvl="1" w:tplc="04270003" w:tentative="1">
      <w:start w:val="1"/>
      <w:numFmt w:val="bullet"/>
      <w:lvlText w:val="o"/>
      <w:lvlJc w:val="left"/>
      <w:pPr>
        <w:ind w:left="1506" w:hanging="360"/>
      </w:pPr>
      <w:rPr>
        <w:rFonts w:ascii="Courier New" w:hAnsi="Courier New" w:cs="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cs="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cs="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18">
    <w:nsid w:val="2E663A20"/>
    <w:multiLevelType w:val="hybridMultilevel"/>
    <w:tmpl w:val="94B0C6EE"/>
    <w:lvl w:ilvl="0" w:tplc="CCDCBEE2">
      <w:start w:val="2017"/>
      <w:numFmt w:val="bullet"/>
      <w:lvlText w:val="-"/>
      <w:lvlJc w:val="left"/>
      <w:pPr>
        <w:ind w:left="420" w:hanging="360"/>
      </w:pPr>
      <w:rPr>
        <w:rFonts w:ascii="Times New Roman" w:eastAsia="Calibri"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19">
    <w:nsid w:val="2FCF5D3D"/>
    <w:multiLevelType w:val="hybridMultilevel"/>
    <w:tmpl w:val="A5A64E16"/>
    <w:lvl w:ilvl="0" w:tplc="937213A8">
      <w:start w:val="1"/>
      <w:numFmt w:val="decimal"/>
      <w:lvlText w:val="%1."/>
      <w:lvlJc w:val="center"/>
      <w:pPr>
        <w:ind w:left="360" w:hanging="133"/>
      </w:pPr>
      <w:rPr>
        <w:rFonts w:hint="default"/>
        <w:b w:val="0"/>
        <w:i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0">
    <w:nsid w:val="38BC4EA4"/>
    <w:multiLevelType w:val="hybridMultilevel"/>
    <w:tmpl w:val="D89EAC88"/>
    <w:lvl w:ilvl="0" w:tplc="5E542804">
      <w:start w:val="1"/>
      <w:numFmt w:val="decimal"/>
      <w:lvlText w:val="%1."/>
      <w:lvlJc w:val="center"/>
      <w:pPr>
        <w:ind w:left="360" w:hanging="133"/>
      </w:pPr>
      <w:rPr>
        <w:rFonts w:hint="default"/>
        <w:b w:val="0"/>
        <w:i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1">
    <w:nsid w:val="39616B8F"/>
    <w:multiLevelType w:val="multilevel"/>
    <w:tmpl w:val="8730C9E6"/>
    <w:lvl w:ilvl="0">
      <w:start w:val="1"/>
      <w:numFmt w:val="decimal"/>
      <w:lvlText w:val="%1."/>
      <w:lvlJc w:val="left"/>
      <w:pPr>
        <w:ind w:left="644" w:hanging="360"/>
      </w:pPr>
      <w:rPr>
        <w:rFonts w:ascii="Times New Roman" w:eastAsia="Calibri" w:hAnsi="Times New Roman" w:cs="Times New Roman"/>
        <w:strike w:val="0"/>
      </w:rPr>
    </w:lvl>
    <w:lvl w:ilvl="1">
      <w:start w:val="1"/>
      <w:numFmt w:val="decimal"/>
      <w:isLgl/>
      <w:lvlText w:val="%2."/>
      <w:lvlJc w:val="left"/>
      <w:pPr>
        <w:ind w:left="927" w:hanging="360"/>
      </w:pPr>
      <w:rPr>
        <w:rFonts w:ascii="Times New Roman" w:eastAsia="Calibri" w:hAnsi="Times New Roman" w:cs="Times New Roman"/>
        <w:strike w:val="0"/>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2">
    <w:nsid w:val="3E04617F"/>
    <w:multiLevelType w:val="hybridMultilevel"/>
    <w:tmpl w:val="16087F5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3E102394"/>
    <w:multiLevelType w:val="hybridMultilevel"/>
    <w:tmpl w:val="16087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A16740"/>
    <w:multiLevelType w:val="hybridMultilevel"/>
    <w:tmpl w:val="4B36EC02"/>
    <w:lvl w:ilvl="0" w:tplc="A97436BA">
      <w:start w:val="1"/>
      <w:numFmt w:val="decimal"/>
      <w:lvlText w:val="%1."/>
      <w:lvlJc w:val="left"/>
      <w:pPr>
        <w:ind w:left="644"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1C2348"/>
    <w:multiLevelType w:val="hybridMultilevel"/>
    <w:tmpl w:val="210E8384"/>
    <w:lvl w:ilvl="0" w:tplc="5E542804">
      <w:start w:val="1"/>
      <w:numFmt w:val="decimal"/>
      <w:lvlText w:val="%1."/>
      <w:lvlJc w:val="center"/>
      <w:pPr>
        <w:ind w:left="360" w:hanging="133"/>
      </w:pPr>
      <w:rPr>
        <w:rFonts w:hint="default"/>
        <w:b w:val="0"/>
        <w:i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6">
    <w:nsid w:val="417B4B08"/>
    <w:multiLevelType w:val="hybridMultilevel"/>
    <w:tmpl w:val="087E1540"/>
    <w:lvl w:ilvl="0" w:tplc="5E542804">
      <w:start w:val="1"/>
      <w:numFmt w:val="decimal"/>
      <w:lvlText w:val="%1."/>
      <w:lvlJc w:val="center"/>
      <w:pPr>
        <w:ind w:left="360" w:hanging="133"/>
      </w:pPr>
      <w:rPr>
        <w:rFonts w:hint="default"/>
        <w:b w:val="0"/>
        <w:i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7">
    <w:nsid w:val="44720448"/>
    <w:multiLevelType w:val="hybridMultilevel"/>
    <w:tmpl w:val="BC28D57C"/>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4AFB502A"/>
    <w:multiLevelType w:val="multilevel"/>
    <w:tmpl w:val="2D7412D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4BE71456"/>
    <w:multiLevelType w:val="hybridMultilevel"/>
    <w:tmpl w:val="03D8BD2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4CF648ED"/>
    <w:multiLevelType w:val="multilevel"/>
    <w:tmpl w:val="C1BCE864"/>
    <w:lvl w:ilvl="0">
      <w:start w:val="1"/>
      <w:numFmt w:val="decimal"/>
      <w:lvlText w:val="%1."/>
      <w:lvlJc w:val="left"/>
      <w:pPr>
        <w:ind w:left="1211" w:hanging="360"/>
      </w:pPr>
      <w:rPr>
        <w:rFonts w:hint="default"/>
        <w:sz w:val="24"/>
        <w:szCs w:val="24"/>
      </w:rPr>
    </w:lvl>
    <w:lvl w:ilvl="1">
      <w:start w:val="1"/>
      <w:numFmt w:val="decimal"/>
      <w:isLgl/>
      <w:lvlText w:val="%1.%2."/>
      <w:lvlJc w:val="left"/>
      <w:pPr>
        <w:ind w:left="1211" w:hanging="360"/>
      </w:pPr>
      <w:rPr>
        <w:rFonts w:hint="default"/>
        <w:color w:val="auto"/>
        <w:sz w:val="24"/>
      </w:rPr>
    </w:lvl>
    <w:lvl w:ilvl="2">
      <w:start w:val="1"/>
      <w:numFmt w:val="decimal"/>
      <w:isLgl/>
      <w:lvlText w:val="%1.%2.%3."/>
      <w:lvlJc w:val="left"/>
      <w:pPr>
        <w:ind w:left="1571" w:hanging="720"/>
      </w:pPr>
      <w:rPr>
        <w:rFonts w:hint="default"/>
        <w:color w:val="auto"/>
        <w:sz w:val="24"/>
      </w:rPr>
    </w:lvl>
    <w:lvl w:ilvl="3">
      <w:start w:val="1"/>
      <w:numFmt w:val="decimal"/>
      <w:isLgl/>
      <w:lvlText w:val="%1.%2.%3.%4."/>
      <w:lvlJc w:val="left"/>
      <w:pPr>
        <w:ind w:left="1571" w:hanging="720"/>
      </w:pPr>
      <w:rPr>
        <w:rFonts w:hint="default"/>
        <w:color w:val="auto"/>
        <w:sz w:val="24"/>
      </w:rPr>
    </w:lvl>
    <w:lvl w:ilvl="4">
      <w:start w:val="1"/>
      <w:numFmt w:val="decimal"/>
      <w:isLgl/>
      <w:lvlText w:val="%1.%2.%3.%4.%5."/>
      <w:lvlJc w:val="left"/>
      <w:pPr>
        <w:ind w:left="1931" w:hanging="1080"/>
      </w:pPr>
      <w:rPr>
        <w:rFonts w:hint="default"/>
        <w:color w:val="auto"/>
        <w:sz w:val="24"/>
      </w:rPr>
    </w:lvl>
    <w:lvl w:ilvl="5">
      <w:start w:val="1"/>
      <w:numFmt w:val="decimal"/>
      <w:isLgl/>
      <w:lvlText w:val="%1.%2.%3.%4.%5.%6."/>
      <w:lvlJc w:val="left"/>
      <w:pPr>
        <w:ind w:left="1931" w:hanging="1080"/>
      </w:pPr>
      <w:rPr>
        <w:rFonts w:hint="default"/>
        <w:color w:val="auto"/>
        <w:sz w:val="24"/>
      </w:rPr>
    </w:lvl>
    <w:lvl w:ilvl="6">
      <w:start w:val="1"/>
      <w:numFmt w:val="decimal"/>
      <w:isLgl/>
      <w:lvlText w:val="%1.%2.%3.%4.%5.%6.%7."/>
      <w:lvlJc w:val="left"/>
      <w:pPr>
        <w:ind w:left="1931" w:hanging="1080"/>
      </w:pPr>
      <w:rPr>
        <w:rFonts w:hint="default"/>
        <w:color w:val="auto"/>
        <w:sz w:val="24"/>
      </w:rPr>
    </w:lvl>
    <w:lvl w:ilvl="7">
      <w:start w:val="1"/>
      <w:numFmt w:val="decimal"/>
      <w:isLgl/>
      <w:lvlText w:val="%1.%2.%3.%4.%5.%6.%7.%8."/>
      <w:lvlJc w:val="left"/>
      <w:pPr>
        <w:ind w:left="2291" w:hanging="1440"/>
      </w:pPr>
      <w:rPr>
        <w:rFonts w:hint="default"/>
        <w:color w:val="auto"/>
        <w:sz w:val="24"/>
      </w:rPr>
    </w:lvl>
    <w:lvl w:ilvl="8">
      <w:start w:val="1"/>
      <w:numFmt w:val="decimal"/>
      <w:isLgl/>
      <w:lvlText w:val="%1.%2.%3.%4.%5.%6.%7.%8.%9."/>
      <w:lvlJc w:val="left"/>
      <w:pPr>
        <w:ind w:left="2291" w:hanging="1440"/>
      </w:pPr>
      <w:rPr>
        <w:rFonts w:hint="default"/>
        <w:color w:val="auto"/>
        <w:sz w:val="24"/>
      </w:rPr>
    </w:lvl>
  </w:abstractNum>
  <w:abstractNum w:abstractNumId="31">
    <w:nsid w:val="4F385934"/>
    <w:multiLevelType w:val="hybridMultilevel"/>
    <w:tmpl w:val="8EB8B9B6"/>
    <w:lvl w:ilvl="0" w:tplc="F13AF560">
      <w:start w:val="1"/>
      <w:numFmt w:val="decimal"/>
      <w:lvlText w:val="%1."/>
      <w:lvlJc w:val="left"/>
      <w:pPr>
        <w:ind w:left="1211" w:hanging="360"/>
      </w:pPr>
      <w:rPr>
        <w:rFonts w:ascii="Times New Roman" w:eastAsia="Times New Roman" w:hAnsi="Times New Roman" w:cs="Times New Roman"/>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2">
    <w:nsid w:val="4FE9628E"/>
    <w:multiLevelType w:val="hybridMultilevel"/>
    <w:tmpl w:val="E0187E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53081434"/>
    <w:multiLevelType w:val="multilevel"/>
    <w:tmpl w:val="136A42A4"/>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4">
    <w:nsid w:val="54087442"/>
    <w:multiLevelType w:val="hybridMultilevel"/>
    <w:tmpl w:val="17989D3C"/>
    <w:lvl w:ilvl="0" w:tplc="7354CDD0">
      <w:start w:val="1"/>
      <w:numFmt w:val="decimal"/>
      <w:lvlText w:val="%1."/>
      <w:lvlJc w:val="left"/>
      <w:pPr>
        <w:ind w:left="360" w:hanging="360"/>
      </w:pPr>
      <w:rPr>
        <w:rFonts w:ascii="Times New Roman" w:eastAsia="Calibri" w:hAnsi="Times New Roman" w:cs="Times New Roman"/>
        <w:b w:val="0"/>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5">
    <w:nsid w:val="549F281D"/>
    <w:multiLevelType w:val="multilevel"/>
    <w:tmpl w:val="4B36EC02"/>
    <w:lvl w:ilvl="0">
      <w:start w:val="1"/>
      <w:numFmt w:val="decimal"/>
      <w:lvlText w:val="%1."/>
      <w:lvlJc w:val="left"/>
      <w:pPr>
        <w:ind w:left="644"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D000AB0"/>
    <w:multiLevelType w:val="hybridMultilevel"/>
    <w:tmpl w:val="53962D84"/>
    <w:lvl w:ilvl="0" w:tplc="7D0CA5E4">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nsid w:val="5F28398A"/>
    <w:multiLevelType w:val="multilevel"/>
    <w:tmpl w:val="46941D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0CA7C4A"/>
    <w:multiLevelType w:val="multilevel"/>
    <w:tmpl w:val="C890BC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75C79CD"/>
    <w:multiLevelType w:val="hybridMultilevel"/>
    <w:tmpl w:val="2D662068"/>
    <w:lvl w:ilvl="0" w:tplc="5E542804">
      <w:start w:val="1"/>
      <w:numFmt w:val="decimal"/>
      <w:lvlText w:val="%1."/>
      <w:lvlJc w:val="center"/>
      <w:pPr>
        <w:ind w:left="360" w:hanging="133"/>
      </w:pPr>
      <w:rPr>
        <w:rFonts w:hint="default"/>
        <w:b w:val="0"/>
        <w:i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0">
    <w:nsid w:val="6B5B5C4F"/>
    <w:multiLevelType w:val="hybridMultilevel"/>
    <w:tmpl w:val="797AD1BE"/>
    <w:lvl w:ilvl="0" w:tplc="54580704">
      <w:numFmt w:val="bullet"/>
      <w:lvlText w:val="–"/>
      <w:lvlJc w:val="left"/>
      <w:pPr>
        <w:ind w:left="1046" w:hanging="62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1">
    <w:nsid w:val="6D9543FF"/>
    <w:multiLevelType w:val="hybridMultilevel"/>
    <w:tmpl w:val="4B36EC02"/>
    <w:lvl w:ilvl="0" w:tplc="A97436BA">
      <w:start w:val="1"/>
      <w:numFmt w:val="decimal"/>
      <w:lvlText w:val="%1."/>
      <w:lvlJc w:val="left"/>
      <w:pPr>
        <w:ind w:left="644"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706827"/>
    <w:multiLevelType w:val="hybridMultilevel"/>
    <w:tmpl w:val="30F228E2"/>
    <w:lvl w:ilvl="0" w:tplc="368AD3F0">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93E0723"/>
    <w:multiLevelType w:val="multilevel"/>
    <w:tmpl w:val="067AB3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793E1157"/>
    <w:multiLevelType w:val="multilevel"/>
    <w:tmpl w:val="E494AFF2"/>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5">
    <w:nsid w:val="7E6E129B"/>
    <w:multiLevelType w:val="hybridMultilevel"/>
    <w:tmpl w:val="D0D4F868"/>
    <w:lvl w:ilvl="0" w:tplc="611CCF7C">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nsid w:val="7EE909FE"/>
    <w:multiLevelType w:val="hybridMultilevel"/>
    <w:tmpl w:val="9B50CC40"/>
    <w:lvl w:ilvl="0" w:tplc="B2E81FC2">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F8B49DB"/>
    <w:multiLevelType w:val="hybridMultilevel"/>
    <w:tmpl w:val="AA6C6A62"/>
    <w:lvl w:ilvl="0" w:tplc="8DBCF304">
      <w:start w:val="1"/>
      <w:numFmt w:val="decimal"/>
      <w:lvlText w:val="(%1)"/>
      <w:lvlJc w:val="left"/>
      <w:pPr>
        <w:ind w:left="2081" w:hanging="123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8"/>
  </w:num>
  <w:num w:numId="2">
    <w:abstractNumId w:val="43"/>
  </w:num>
  <w:num w:numId="3">
    <w:abstractNumId w:val="28"/>
  </w:num>
  <w:num w:numId="4">
    <w:abstractNumId w:val="38"/>
  </w:num>
  <w:num w:numId="5">
    <w:abstractNumId w:val="42"/>
  </w:num>
  <w:num w:numId="6">
    <w:abstractNumId w:val="4"/>
  </w:num>
  <w:num w:numId="7">
    <w:abstractNumId w:val="13"/>
  </w:num>
  <w:num w:numId="8">
    <w:abstractNumId w:val="37"/>
  </w:num>
  <w:num w:numId="9">
    <w:abstractNumId w:val="9"/>
  </w:num>
  <w:num w:numId="10">
    <w:abstractNumId w:val="29"/>
  </w:num>
  <w:num w:numId="11">
    <w:abstractNumId w:val="3"/>
  </w:num>
  <w:num w:numId="12">
    <w:abstractNumId w:val="27"/>
  </w:num>
  <w:num w:numId="13">
    <w:abstractNumId w:val="30"/>
  </w:num>
  <w:num w:numId="14">
    <w:abstractNumId w:val="6"/>
  </w:num>
  <w:num w:numId="15">
    <w:abstractNumId w:val="12"/>
  </w:num>
  <w:num w:numId="16">
    <w:abstractNumId w:val="32"/>
  </w:num>
  <w:num w:numId="17">
    <w:abstractNumId w:val="31"/>
  </w:num>
  <w:num w:numId="18">
    <w:abstractNumId w:val="41"/>
  </w:num>
  <w:num w:numId="19">
    <w:abstractNumId w:val="23"/>
  </w:num>
  <w:num w:numId="20">
    <w:abstractNumId w:val="22"/>
  </w:num>
  <w:num w:numId="21">
    <w:abstractNumId w:val="10"/>
  </w:num>
  <w:num w:numId="22">
    <w:abstractNumId w:val="2"/>
  </w:num>
  <w:num w:numId="23">
    <w:abstractNumId w:val="11"/>
  </w:num>
  <w:num w:numId="24">
    <w:abstractNumId w:val="45"/>
  </w:num>
  <w:num w:numId="25">
    <w:abstractNumId w:val="1"/>
  </w:num>
  <w:num w:numId="26">
    <w:abstractNumId w:val="47"/>
  </w:num>
  <w:num w:numId="27">
    <w:abstractNumId w:val="33"/>
  </w:num>
  <w:num w:numId="28">
    <w:abstractNumId w:val="44"/>
  </w:num>
  <w:num w:numId="29">
    <w:abstractNumId w:val="46"/>
  </w:num>
  <w:num w:numId="30">
    <w:abstractNumId w:val="18"/>
  </w:num>
  <w:num w:numId="31">
    <w:abstractNumId w:val="7"/>
  </w:num>
  <w:num w:numId="32">
    <w:abstractNumId w:val="15"/>
  </w:num>
  <w:num w:numId="33">
    <w:abstractNumId w:val="0"/>
  </w:num>
  <w:num w:numId="34">
    <w:abstractNumId w:val="21"/>
  </w:num>
  <w:num w:numId="35">
    <w:abstractNumId w:val="36"/>
  </w:num>
  <w:num w:numId="36">
    <w:abstractNumId w:val="24"/>
  </w:num>
  <w:num w:numId="37">
    <w:abstractNumId w:val="34"/>
  </w:num>
  <w:num w:numId="38">
    <w:abstractNumId w:val="35"/>
  </w:num>
  <w:num w:numId="39">
    <w:abstractNumId w:val="40"/>
  </w:num>
  <w:num w:numId="40">
    <w:abstractNumId w:val="17"/>
  </w:num>
  <w:num w:numId="41">
    <w:abstractNumId w:val="25"/>
  </w:num>
  <w:num w:numId="42">
    <w:abstractNumId w:val="19"/>
  </w:num>
  <w:num w:numId="43">
    <w:abstractNumId w:val="16"/>
  </w:num>
  <w:num w:numId="44">
    <w:abstractNumId w:val="20"/>
  </w:num>
  <w:num w:numId="45">
    <w:abstractNumId w:val="5"/>
  </w:num>
  <w:num w:numId="46">
    <w:abstractNumId w:val="26"/>
  </w:num>
  <w:num w:numId="47">
    <w:abstractNumId w:val="39"/>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activeWritingStyle w:appName="MSWord" w:lang="ru-RU" w:vendorID="64" w:dllVersion="131078" w:nlCheck="1" w:checkStyle="0"/>
  <w:activeWritingStyle w:appName="MSWord" w:lang="en-US" w:vendorID="64" w:dllVersion="131078" w:nlCheck="1" w:checkStyle="0"/>
  <w:activeWritingStyle w:appName="MSWord" w:lang="en-US" w:vendorID="64" w:dllVersion="0" w:nlCheck="1" w:checkStyle="0"/>
  <w:activeWritingStyle w:appName="MSWord" w:lang="en-US" w:vendorID="64" w:dllVersion="4096" w:nlCheck="1" w:checkStyle="0"/>
  <w:defaultTabStop w:val="70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B16"/>
    <w:rsid w:val="00001024"/>
    <w:rsid w:val="0000136E"/>
    <w:rsid w:val="000036DB"/>
    <w:rsid w:val="000121B6"/>
    <w:rsid w:val="00016B6D"/>
    <w:rsid w:val="00024B05"/>
    <w:rsid w:val="000252E0"/>
    <w:rsid w:val="00027DC8"/>
    <w:rsid w:val="00033D6D"/>
    <w:rsid w:val="00034506"/>
    <w:rsid w:val="00036FA6"/>
    <w:rsid w:val="000415D7"/>
    <w:rsid w:val="00044880"/>
    <w:rsid w:val="00052ECD"/>
    <w:rsid w:val="0005648F"/>
    <w:rsid w:val="00062293"/>
    <w:rsid w:val="000624D1"/>
    <w:rsid w:val="00062635"/>
    <w:rsid w:val="00064D4A"/>
    <w:rsid w:val="000704C1"/>
    <w:rsid w:val="00071493"/>
    <w:rsid w:val="00072435"/>
    <w:rsid w:val="00075B0D"/>
    <w:rsid w:val="00082213"/>
    <w:rsid w:val="00082BEF"/>
    <w:rsid w:val="00083285"/>
    <w:rsid w:val="00084413"/>
    <w:rsid w:val="000869D4"/>
    <w:rsid w:val="00086E49"/>
    <w:rsid w:val="0009259A"/>
    <w:rsid w:val="00092D9F"/>
    <w:rsid w:val="00093C8E"/>
    <w:rsid w:val="000953E6"/>
    <w:rsid w:val="00097581"/>
    <w:rsid w:val="00097831"/>
    <w:rsid w:val="00097C7A"/>
    <w:rsid w:val="000A1548"/>
    <w:rsid w:val="000A336E"/>
    <w:rsid w:val="000A4165"/>
    <w:rsid w:val="000A4AC2"/>
    <w:rsid w:val="000A5394"/>
    <w:rsid w:val="000B0359"/>
    <w:rsid w:val="000B1195"/>
    <w:rsid w:val="000B5422"/>
    <w:rsid w:val="000B6E01"/>
    <w:rsid w:val="000B7A0F"/>
    <w:rsid w:val="000B7CFB"/>
    <w:rsid w:val="000C19E9"/>
    <w:rsid w:val="000C4C79"/>
    <w:rsid w:val="000C74F1"/>
    <w:rsid w:val="000C775C"/>
    <w:rsid w:val="000C7CEA"/>
    <w:rsid w:val="000D0009"/>
    <w:rsid w:val="000D058B"/>
    <w:rsid w:val="000D0AC2"/>
    <w:rsid w:val="000D180E"/>
    <w:rsid w:val="000D4549"/>
    <w:rsid w:val="000E50CA"/>
    <w:rsid w:val="000E6ACA"/>
    <w:rsid w:val="000E6FAC"/>
    <w:rsid w:val="000E799F"/>
    <w:rsid w:val="000E7B16"/>
    <w:rsid w:val="000E7B29"/>
    <w:rsid w:val="000F07CC"/>
    <w:rsid w:val="000F1BA2"/>
    <w:rsid w:val="000F1C2C"/>
    <w:rsid w:val="000F2758"/>
    <w:rsid w:val="000F32C3"/>
    <w:rsid w:val="000F3D07"/>
    <w:rsid w:val="000F4A83"/>
    <w:rsid w:val="000F4A9E"/>
    <w:rsid w:val="000F6A62"/>
    <w:rsid w:val="000F73C8"/>
    <w:rsid w:val="000F7973"/>
    <w:rsid w:val="00101139"/>
    <w:rsid w:val="001015A1"/>
    <w:rsid w:val="00104154"/>
    <w:rsid w:val="001057DE"/>
    <w:rsid w:val="00107755"/>
    <w:rsid w:val="001132AC"/>
    <w:rsid w:val="00115E73"/>
    <w:rsid w:val="00117650"/>
    <w:rsid w:val="00117945"/>
    <w:rsid w:val="00121375"/>
    <w:rsid w:val="001217A9"/>
    <w:rsid w:val="00122461"/>
    <w:rsid w:val="00123289"/>
    <w:rsid w:val="00125A79"/>
    <w:rsid w:val="00126D03"/>
    <w:rsid w:val="001315E2"/>
    <w:rsid w:val="00133AF4"/>
    <w:rsid w:val="00137D8E"/>
    <w:rsid w:val="0014042E"/>
    <w:rsid w:val="001404F3"/>
    <w:rsid w:val="00140CE6"/>
    <w:rsid w:val="001451AA"/>
    <w:rsid w:val="0014589B"/>
    <w:rsid w:val="00146886"/>
    <w:rsid w:val="00153E1F"/>
    <w:rsid w:val="0016145A"/>
    <w:rsid w:val="0016156C"/>
    <w:rsid w:val="001620F2"/>
    <w:rsid w:val="001642FD"/>
    <w:rsid w:val="00165773"/>
    <w:rsid w:val="0016664F"/>
    <w:rsid w:val="00166F6A"/>
    <w:rsid w:val="00172DCC"/>
    <w:rsid w:val="00172DD5"/>
    <w:rsid w:val="001834D5"/>
    <w:rsid w:val="0018533A"/>
    <w:rsid w:val="0018777F"/>
    <w:rsid w:val="00190B48"/>
    <w:rsid w:val="00192158"/>
    <w:rsid w:val="00192B08"/>
    <w:rsid w:val="00193643"/>
    <w:rsid w:val="00193660"/>
    <w:rsid w:val="001945B1"/>
    <w:rsid w:val="00195882"/>
    <w:rsid w:val="00195B89"/>
    <w:rsid w:val="00196CE1"/>
    <w:rsid w:val="001A0595"/>
    <w:rsid w:val="001A1AA5"/>
    <w:rsid w:val="001A24E6"/>
    <w:rsid w:val="001A383D"/>
    <w:rsid w:val="001A3F02"/>
    <w:rsid w:val="001A5D5F"/>
    <w:rsid w:val="001B0900"/>
    <w:rsid w:val="001B0C59"/>
    <w:rsid w:val="001B14C8"/>
    <w:rsid w:val="001B2E43"/>
    <w:rsid w:val="001B3CE3"/>
    <w:rsid w:val="001B3FC3"/>
    <w:rsid w:val="001B75E3"/>
    <w:rsid w:val="001B7F26"/>
    <w:rsid w:val="001C4526"/>
    <w:rsid w:val="001C6BB4"/>
    <w:rsid w:val="001C7C7C"/>
    <w:rsid w:val="001D077A"/>
    <w:rsid w:val="001D25B6"/>
    <w:rsid w:val="001D433A"/>
    <w:rsid w:val="001D6AC3"/>
    <w:rsid w:val="001D6E52"/>
    <w:rsid w:val="001E1B76"/>
    <w:rsid w:val="001E5846"/>
    <w:rsid w:val="001E62B2"/>
    <w:rsid w:val="001E6C65"/>
    <w:rsid w:val="001E72AF"/>
    <w:rsid w:val="001F08A5"/>
    <w:rsid w:val="001F3BF0"/>
    <w:rsid w:val="001F5564"/>
    <w:rsid w:val="001F581F"/>
    <w:rsid w:val="00201779"/>
    <w:rsid w:val="0020368B"/>
    <w:rsid w:val="00204911"/>
    <w:rsid w:val="00205490"/>
    <w:rsid w:val="002067A7"/>
    <w:rsid w:val="00207858"/>
    <w:rsid w:val="002104B6"/>
    <w:rsid w:val="00215649"/>
    <w:rsid w:val="0021651E"/>
    <w:rsid w:val="00217F89"/>
    <w:rsid w:val="00220083"/>
    <w:rsid w:val="00220164"/>
    <w:rsid w:val="00224B97"/>
    <w:rsid w:val="002271FE"/>
    <w:rsid w:val="002276D0"/>
    <w:rsid w:val="00227CD1"/>
    <w:rsid w:val="002308E3"/>
    <w:rsid w:val="00234A95"/>
    <w:rsid w:val="00235CD0"/>
    <w:rsid w:val="002361B3"/>
    <w:rsid w:val="0023628C"/>
    <w:rsid w:val="002368F3"/>
    <w:rsid w:val="0023698A"/>
    <w:rsid w:val="00236A8D"/>
    <w:rsid w:val="002372B4"/>
    <w:rsid w:val="00237BCA"/>
    <w:rsid w:val="002406A1"/>
    <w:rsid w:val="00240775"/>
    <w:rsid w:val="002428E9"/>
    <w:rsid w:val="00242963"/>
    <w:rsid w:val="002441C4"/>
    <w:rsid w:val="0024587F"/>
    <w:rsid w:val="00246110"/>
    <w:rsid w:val="00246720"/>
    <w:rsid w:val="00247B1E"/>
    <w:rsid w:val="0025667E"/>
    <w:rsid w:val="00257BAB"/>
    <w:rsid w:val="00263DF4"/>
    <w:rsid w:val="0026400C"/>
    <w:rsid w:val="0026481C"/>
    <w:rsid w:val="0026777C"/>
    <w:rsid w:val="00267F1C"/>
    <w:rsid w:val="00270126"/>
    <w:rsid w:val="00271BB5"/>
    <w:rsid w:val="002722ED"/>
    <w:rsid w:val="002723AE"/>
    <w:rsid w:val="0027436F"/>
    <w:rsid w:val="0027616E"/>
    <w:rsid w:val="002772B6"/>
    <w:rsid w:val="00277C54"/>
    <w:rsid w:val="0028184F"/>
    <w:rsid w:val="00284019"/>
    <w:rsid w:val="0028406B"/>
    <w:rsid w:val="00284080"/>
    <w:rsid w:val="002842ED"/>
    <w:rsid w:val="0028485E"/>
    <w:rsid w:val="00287D55"/>
    <w:rsid w:val="002918E9"/>
    <w:rsid w:val="002922CA"/>
    <w:rsid w:val="00293759"/>
    <w:rsid w:val="0029616D"/>
    <w:rsid w:val="00296680"/>
    <w:rsid w:val="002968F9"/>
    <w:rsid w:val="002972AD"/>
    <w:rsid w:val="00297A07"/>
    <w:rsid w:val="002A1D8A"/>
    <w:rsid w:val="002A1F8E"/>
    <w:rsid w:val="002A2D0F"/>
    <w:rsid w:val="002A6638"/>
    <w:rsid w:val="002A6C2C"/>
    <w:rsid w:val="002A7971"/>
    <w:rsid w:val="002B02DA"/>
    <w:rsid w:val="002B0659"/>
    <w:rsid w:val="002B0C82"/>
    <w:rsid w:val="002B34CA"/>
    <w:rsid w:val="002B35DA"/>
    <w:rsid w:val="002B517B"/>
    <w:rsid w:val="002B71C2"/>
    <w:rsid w:val="002C00C7"/>
    <w:rsid w:val="002C0DE9"/>
    <w:rsid w:val="002C1800"/>
    <w:rsid w:val="002C4AC9"/>
    <w:rsid w:val="002C4E4E"/>
    <w:rsid w:val="002C636A"/>
    <w:rsid w:val="002C6393"/>
    <w:rsid w:val="002D1743"/>
    <w:rsid w:val="002D3EDA"/>
    <w:rsid w:val="002D4E71"/>
    <w:rsid w:val="002D74F3"/>
    <w:rsid w:val="002E145F"/>
    <w:rsid w:val="002E301C"/>
    <w:rsid w:val="002E32A4"/>
    <w:rsid w:val="002F0BFE"/>
    <w:rsid w:val="002F1037"/>
    <w:rsid w:val="002F278B"/>
    <w:rsid w:val="002F2985"/>
    <w:rsid w:val="002F58E0"/>
    <w:rsid w:val="002F7C62"/>
    <w:rsid w:val="00300072"/>
    <w:rsid w:val="00304184"/>
    <w:rsid w:val="00304EC8"/>
    <w:rsid w:val="00305B84"/>
    <w:rsid w:val="00305E74"/>
    <w:rsid w:val="00310690"/>
    <w:rsid w:val="00310855"/>
    <w:rsid w:val="00315197"/>
    <w:rsid w:val="0031581F"/>
    <w:rsid w:val="00323929"/>
    <w:rsid w:val="00325F7A"/>
    <w:rsid w:val="00326BCE"/>
    <w:rsid w:val="00326C9E"/>
    <w:rsid w:val="003270CE"/>
    <w:rsid w:val="003319E6"/>
    <w:rsid w:val="0033325B"/>
    <w:rsid w:val="003332FA"/>
    <w:rsid w:val="00333E3C"/>
    <w:rsid w:val="00334E24"/>
    <w:rsid w:val="00337F77"/>
    <w:rsid w:val="00341874"/>
    <w:rsid w:val="00342421"/>
    <w:rsid w:val="00342DCC"/>
    <w:rsid w:val="00342F2C"/>
    <w:rsid w:val="0034325B"/>
    <w:rsid w:val="003446BD"/>
    <w:rsid w:val="00346BD0"/>
    <w:rsid w:val="00351259"/>
    <w:rsid w:val="003522C4"/>
    <w:rsid w:val="003532BF"/>
    <w:rsid w:val="003547AA"/>
    <w:rsid w:val="00355A4A"/>
    <w:rsid w:val="00356FDF"/>
    <w:rsid w:val="00360BAE"/>
    <w:rsid w:val="00364107"/>
    <w:rsid w:val="00366EA7"/>
    <w:rsid w:val="0037586E"/>
    <w:rsid w:val="00377562"/>
    <w:rsid w:val="00377C32"/>
    <w:rsid w:val="00381390"/>
    <w:rsid w:val="00384E4C"/>
    <w:rsid w:val="00386905"/>
    <w:rsid w:val="00392533"/>
    <w:rsid w:val="00394033"/>
    <w:rsid w:val="00396FDB"/>
    <w:rsid w:val="003974B1"/>
    <w:rsid w:val="003A17CE"/>
    <w:rsid w:val="003A51C0"/>
    <w:rsid w:val="003B0A94"/>
    <w:rsid w:val="003B3872"/>
    <w:rsid w:val="003B4E55"/>
    <w:rsid w:val="003C09AB"/>
    <w:rsid w:val="003C0DD8"/>
    <w:rsid w:val="003C1ABE"/>
    <w:rsid w:val="003C232A"/>
    <w:rsid w:val="003C36C1"/>
    <w:rsid w:val="003C3D7B"/>
    <w:rsid w:val="003C47DB"/>
    <w:rsid w:val="003C580E"/>
    <w:rsid w:val="003C659D"/>
    <w:rsid w:val="003C7A72"/>
    <w:rsid w:val="003D003D"/>
    <w:rsid w:val="003D0DD9"/>
    <w:rsid w:val="003D3541"/>
    <w:rsid w:val="003D374C"/>
    <w:rsid w:val="003D4F5E"/>
    <w:rsid w:val="003D601A"/>
    <w:rsid w:val="003D6FC6"/>
    <w:rsid w:val="003D7301"/>
    <w:rsid w:val="003D735F"/>
    <w:rsid w:val="003D7B9F"/>
    <w:rsid w:val="003E0C82"/>
    <w:rsid w:val="003E1155"/>
    <w:rsid w:val="003E1768"/>
    <w:rsid w:val="003E24C8"/>
    <w:rsid w:val="003E3832"/>
    <w:rsid w:val="003E4111"/>
    <w:rsid w:val="003E4CD3"/>
    <w:rsid w:val="003E6595"/>
    <w:rsid w:val="003E7156"/>
    <w:rsid w:val="003F072D"/>
    <w:rsid w:val="003F2332"/>
    <w:rsid w:val="003F49B4"/>
    <w:rsid w:val="003F4CC0"/>
    <w:rsid w:val="003F59F3"/>
    <w:rsid w:val="003F798D"/>
    <w:rsid w:val="003F7DF3"/>
    <w:rsid w:val="00401441"/>
    <w:rsid w:val="00401C4A"/>
    <w:rsid w:val="00404F4F"/>
    <w:rsid w:val="00405DE6"/>
    <w:rsid w:val="0040744A"/>
    <w:rsid w:val="0041231A"/>
    <w:rsid w:val="00413DF0"/>
    <w:rsid w:val="004140E6"/>
    <w:rsid w:val="00415948"/>
    <w:rsid w:val="0041735B"/>
    <w:rsid w:val="00420270"/>
    <w:rsid w:val="004204D5"/>
    <w:rsid w:val="0042235E"/>
    <w:rsid w:val="00423637"/>
    <w:rsid w:val="00424895"/>
    <w:rsid w:val="00424EED"/>
    <w:rsid w:val="004255EA"/>
    <w:rsid w:val="00426034"/>
    <w:rsid w:val="004335DF"/>
    <w:rsid w:val="00440769"/>
    <w:rsid w:val="00440936"/>
    <w:rsid w:val="00441292"/>
    <w:rsid w:val="00442403"/>
    <w:rsid w:val="00444DEE"/>
    <w:rsid w:val="00455BB0"/>
    <w:rsid w:val="0045752A"/>
    <w:rsid w:val="00457D74"/>
    <w:rsid w:val="0046128C"/>
    <w:rsid w:val="0046453B"/>
    <w:rsid w:val="00464A7C"/>
    <w:rsid w:val="00465531"/>
    <w:rsid w:val="00466569"/>
    <w:rsid w:val="0046723B"/>
    <w:rsid w:val="00471C21"/>
    <w:rsid w:val="00474E4D"/>
    <w:rsid w:val="004756E6"/>
    <w:rsid w:val="00482A78"/>
    <w:rsid w:val="00492FE3"/>
    <w:rsid w:val="00493458"/>
    <w:rsid w:val="00493BDC"/>
    <w:rsid w:val="00495C95"/>
    <w:rsid w:val="004A54FF"/>
    <w:rsid w:val="004B1A0A"/>
    <w:rsid w:val="004B4420"/>
    <w:rsid w:val="004B62B6"/>
    <w:rsid w:val="004C3DFA"/>
    <w:rsid w:val="004D04F3"/>
    <w:rsid w:val="004D13F0"/>
    <w:rsid w:val="004D408A"/>
    <w:rsid w:val="004D6247"/>
    <w:rsid w:val="004D6304"/>
    <w:rsid w:val="004D6306"/>
    <w:rsid w:val="004D7679"/>
    <w:rsid w:val="004E2C8C"/>
    <w:rsid w:val="004E5841"/>
    <w:rsid w:val="004E649B"/>
    <w:rsid w:val="004E6DCD"/>
    <w:rsid w:val="004F33AE"/>
    <w:rsid w:val="004F35FA"/>
    <w:rsid w:val="004F7A7E"/>
    <w:rsid w:val="005013E2"/>
    <w:rsid w:val="00501F9D"/>
    <w:rsid w:val="005022EF"/>
    <w:rsid w:val="00506CD5"/>
    <w:rsid w:val="00507DA5"/>
    <w:rsid w:val="0051094E"/>
    <w:rsid w:val="005133A9"/>
    <w:rsid w:val="00514761"/>
    <w:rsid w:val="005156A8"/>
    <w:rsid w:val="00515AD9"/>
    <w:rsid w:val="00517D7A"/>
    <w:rsid w:val="00520A52"/>
    <w:rsid w:val="0052479B"/>
    <w:rsid w:val="00525A89"/>
    <w:rsid w:val="00526417"/>
    <w:rsid w:val="00527AA8"/>
    <w:rsid w:val="00533D71"/>
    <w:rsid w:val="00534732"/>
    <w:rsid w:val="0053524F"/>
    <w:rsid w:val="005361D6"/>
    <w:rsid w:val="00536E36"/>
    <w:rsid w:val="00540E8A"/>
    <w:rsid w:val="005541D0"/>
    <w:rsid w:val="005552A8"/>
    <w:rsid w:val="0055605F"/>
    <w:rsid w:val="00557F09"/>
    <w:rsid w:val="00563B25"/>
    <w:rsid w:val="00565D4C"/>
    <w:rsid w:val="00566B07"/>
    <w:rsid w:val="005674D3"/>
    <w:rsid w:val="00567C25"/>
    <w:rsid w:val="00567C92"/>
    <w:rsid w:val="005750F9"/>
    <w:rsid w:val="00581263"/>
    <w:rsid w:val="005817AD"/>
    <w:rsid w:val="00582BF2"/>
    <w:rsid w:val="00582EAF"/>
    <w:rsid w:val="005836D8"/>
    <w:rsid w:val="00585B2D"/>
    <w:rsid w:val="00590130"/>
    <w:rsid w:val="00591DB9"/>
    <w:rsid w:val="005922F4"/>
    <w:rsid w:val="005945E5"/>
    <w:rsid w:val="00595C52"/>
    <w:rsid w:val="0059657F"/>
    <w:rsid w:val="00596D29"/>
    <w:rsid w:val="00597A46"/>
    <w:rsid w:val="005A0168"/>
    <w:rsid w:val="005A2951"/>
    <w:rsid w:val="005B0544"/>
    <w:rsid w:val="005B401E"/>
    <w:rsid w:val="005B4C80"/>
    <w:rsid w:val="005B7071"/>
    <w:rsid w:val="005C1933"/>
    <w:rsid w:val="005C1F25"/>
    <w:rsid w:val="005C6709"/>
    <w:rsid w:val="005C6F84"/>
    <w:rsid w:val="005D051B"/>
    <w:rsid w:val="005D0629"/>
    <w:rsid w:val="005D1A12"/>
    <w:rsid w:val="005D2AFA"/>
    <w:rsid w:val="005D378B"/>
    <w:rsid w:val="005D6905"/>
    <w:rsid w:val="005E2AEC"/>
    <w:rsid w:val="005E3D1A"/>
    <w:rsid w:val="005E6CD7"/>
    <w:rsid w:val="005F0642"/>
    <w:rsid w:val="005F1628"/>
    <w:rsid w:val="005F1C3F"/>
    <w:rsid w:val="005F2894"/>
    <w:rsid w:val="005F3FEB"/>
    <w:rsid w:val="005F7059"/>
    <w:rsid w:val="00600277"/>
    <w:rsid w:val="0060158C"/>
    <w:rsid w:val="00603188"/>
    <w:rsid w:val="00603543"/>
    <w:rsid w:val="00603C4E"/>
    <w:rsid w:val="00605412"/>
    <w:rsid w:val="00606E46"/>
    <w:rsid w:val="00615748"/>
    <w:rsid w:val="006167D0"/>
    <w:rsid w:val="00617401"/>
    <w:rsid w:val="00621532"/>
    <w:rsid w:val="00623F9B"/>
    <w:rsid w:val="006240C6"/>
    <w:rsid w:val="006241E3"/>
    <w:rsid w:val="0062485C"/>
    <w:rsid w:val="00624BCF"/>
    <w:rsid w:val="00625382"/>
    <w:rsid w:val="00626D6C"/>
    <w:rsid w:val="00632F2C"/>
    <w:rsid w:val="00633643"/>
    <w:rsid w:val="00635157"/>
    <w:rsid w:val="00637454"/>
    <w:rsid w:val="0063762E"/>
    <w:rsid w:val="006404EE"/>
    <w:rsid w:val="00644F94"/>
    <w:rsid w:val="006452F5"/>
    <w:rsid w:val="00650D9C"/>
    <w:rsid w:val="006516B6"/>
    <w:rsid w:val="0065208B"/>
    <w:rsid w:val="006540A2"/>
    <w:rsid w:val="0065564F"/>
    <w:rsid w:val="006572E9"/>
    <w:rsid w:val="00657360"/>
    <w:rsid w:val="00657755"/>
    <w:rsid w:val="006621D9"/>
    <w:rsid w:val="00663B96"/>
    <w:rsid w:val="00663CAF"/>
    <w:rsid w:val="006656C7"/>
    <w:rsid w:val="00667A00"/>
    <w:rsid w:val="00667B4F"/>
    <w:rsid w:val="00671104"/>
    <w:rsid w:val="0067127D"/>
    <w:rsid w:val="006712E5"/>
    <w:rsid w:val="006715E4"/>
    <w:rsid w:val="00673AD6"/>
    <w:rsid w:val="006741AE"/>
    <w:rsid w:val="0067428C"/>
    <w:rsid w:val="0067468A"/>
    <w:rsid w:val="00674C40"/>
    <w:rsid w:val="006760D4"/>
    <w:rsid w:val="00676774"/>
    <w:rsid w:val="00676EEE"/>
    <w:rsid w:val="00681101"/>
    <w:rsid w:val="00681360"/>
    <w:rsid w:val="00682E1F"/>
    <w:rsid w:val="006832FB"/>
    <w:rsid w:val="00683AA7"/>
    <w:rsid w:val="00683B17"/>
    <w:rsid w:val="00683EED"/>
    <w:rsid w:val="006840AB"/>
    <w:rsid w:val="00684857"/>
    <w:rsid w:val="00684DF8"/>
    <w:rsid w:val="00690339"/>
    <w:rsid w:val="00690FF6"/>
    <w:rsid w:val="006926B5"/>
    <w:rsid w:val="006951F2"/>
    <w:rsid w:val="00697864"/>
    <w:rsid w:val="006A22AE"/>
    <w:rsid w:val="006A38C0"/>
    <w:rsid w:val="006A3B61"/>
    <w:rsid w:val="006A4738"/>
    <w:rsid w:val="006A5DF2"/>
    <w:rsid w:val="006A5F77"/>
    <w:rsid w:val="006A694A"/>
    <w:rsid w:val="006B0E66"/>
    <w:rsid w:val="006B0E6F"/>
    <w:rsid w:val="006B0FC3"/>
    <w:rsid w:val="006B35CD"/>
    <w:rsid w:val="006B4DCC"/>
    <w:rsid w:val="006B795E"/>
    <w:rsid w:val="006D1A7C"/>
    <w:rsid w:val="006D2BCB"/>
    <w:rsid w:val="006D401B"/>
    <w:rsid w:val="006D463A"/>
    <w:rsid w:val="006D5C75"/>
    <w:rsid w:val="006D6550"/>
    <w:rsid w:val="006D7CB6"/>
    <w:rsid w:val="006E337C"/>
    <w:rsid w:val="006E3CE6"/>
    <w:rsid w:val="006E65BF"/>
    <w:rsid w:val="006F4BB1"/>
    <w:rsid w:val="006F5F23"/>
    <w:rsid w:val="006F7D7A"/>
    <w:rsid w:val="00700200"/>
    <w:rsid w:val="00701C93"/>
    <w:rsid w:val="007032C0"/>
    <w:rsid w:val="00704324"/>
    <w:rsid w:val="00705537"/>
    <w:rsid w:val="00705989"/>
    <w:rsid w:val="00706D7C"/>
    <w:rsid w:val="00707A6B"/>
    <w:rsid w:val="007101DE"/>
    <w:rsid w:val="00711825"/>
    <w:rsid w:val="00711D28"/>
    <w:rsid w:val="0071396E"/>
    <w:rsid w:val="00715A4B"/>
    <w:rsid w:val="00716764"/>
    <w:rsid w:val="00717EFD"/>
    <w:rsid w:val="007203DB"/>
    <w:rsid w:val="00722BA8"/>
    <w:rsid w:val="007269F7"/>
    <w:rsid w:val="00726CEC"/>
    <w:rsid w:val="00731D5A"/>
    <w:rsid w:val="00733242"/>
    <w:rsid w:val="00733696"/>
    <w:rsid w:val="00733B9C"/>
    <w:rsid w:val="00737032"/>
    <w:rsid w:val="00737264"/>
    <w:rsid w:val="0074022A"/>
    <w:rsid w:val="00743934"/>
    <w:rsid w:val="00744D82"/>
    <w:rsid w:val="00745302"/>
    <w:rsid w:val="007461B8"/>
    <w:rsid w:val="007506ED"/>
    <w:rsid w:val="00752268"/>
    <w:rsid w:val="00754E09"/>
    <w:rsid w:val="0075735C"/>
    <w:rsid w:val="00760157"/>
    <w:rsid w:val="00771D66"/>
    <w:rsid w:val="00773C7B"/>
    <w:rsid w:val="00773DF1"/>
    <w:rsid w:val="00773F59"/>
    <w:rsid w:val="00775D67"/>
    <w:rsid w:val="00775FC0"/>
    <w:rsid w:val="007810BD"/>
    <w:rsid w:val="00783047"/>
    <w:rsid w:val="007855F6"/>
    <w:rsid w:val="0079111B"/>
    <w:rsid w:val="007922C6"/>
    <w:rsid w:val="00793754"/>
    <w:rsid w:val="00794B28"/>
    <w:rsid w:val="007A0FA3"/>
    <w:rsid w:val="007A1C3E"/>
    <w:rsid w:val="007A4135"/>
    <w:rsid w:val="007A543D"/>
    <w:rsid w:val="007A5BC1"/>
    <w:rsid w:val="007A745F"/>
    <w:rsid w:val="007B0624"/>
    <w:rsid w:val="007B2EB7"/>
    <w:rsid w:val="007B5B13"/>
    <w:rsid w:val="007B656B"/>
    <w:rsid w:val="007B6E2A"/>
    <w:rsid w:val="007C0AF7"/>
    <w:rsid w:val="007C0E34"/>
    <w:rsid w:val="007C3049"/>
    <w:rsid w:val="007C3B1E"/>
    <w:rsid w:val="007C5771"/>
    <w:rsid w:val="007C59DE"/>
    <w:rsid w:val="007C6DDE"/>
    <w:rsid w:val="007C7AD3"/>
    <w:rsid w:val="007D2B20"/>
    <w:rsid w:val="007D2C4A"/>
    <w:rsid w:val="007D3FFE"/>
    <w:rsid w:val="007D5541"/>
    <w:rsid w:val="007E0D42"/>
    <w:rsid w:val="007E1B1B"/>
    <w:rsid w:val="007E295B"/>
    <w:rsid w:val="007E3EB7"/>
    <w:rsid w:val="007E41E2"/>
    <w:rsid w:val="007E4301"/>
    <w:rsid w:val="007E4566"/>
    <w:rsid w:val="007E45B5"/>
    <w:rsid w:val="007E5ABF"/>
    <w:rsid w:val="007E628A"/>
    <w:rsid w:val="007E6F2F"/>
    <w:rsid w:val="007F09E8"/>
    <w:rsid w:val="007F1F21"/>
    <w:rsid w:val="007F2242"/>
    <w:rsid w:val="007F2B05"/>
    <w:rsid w:val="007F5688"/>
    <w:rsid w:val="007F58ED"/>
    <w:rsid w:val="007F715A"/>
    <w:rsid w:val="008010DB"/>
    <w:rsid w:val="0080190C"/>
    <w:rsid w:val="00803405"/>
    <w:rsid w:val="00803513"/>
    <w:rsid w:val="00803A54"/>
    <w:rsid w:val="00806675"/>
    <w:rsid w:val="00810E36"/>
    <w:rsid w:val="008138A6"/>
    <w:rsid w:val="00814533"/>
    <w:rsid w:val="008162C0"/>
    <w:rsid w:val="00816FE6"/>
    <w:rsid w:val="00817FAE"/>
    <w:rsid w:val="008229C4"/>
    <w:rsid w:val="0082697A"/>
    <w:rsid w:val="008310AC"/>
    <w:rsid w:val="008311D1"/>
    <w:rsid w:val="0083153E"/>
    <w:rsid w:val="00835B17"/>
    <w:rsid w:val="008402A7"/>
    <w:rsid w:val="008415B0"/>
    <w:rsid w:val="00844F01"/>
    <w:rsid w:val="00845329"/>
    <w:rsid w:val="0085037E"/>
    <w:rsid w:val="00850388"/>
    <w:rsid w:val="00853176"/>
    <w:rsid w:val="00854E6D"/>
    <w:rsid w:val="00855D6C"/>
    <w:rsid w:val="0085762D"/>
    <w:rsid w:val="008579F1"/>
    <w:rsid w:val="008635E6"/>
    <w:rsid w:val="00864829"/>
    <w:rsid w:val="008648A3"/>
    <w:rsid w:val="008652F5"/>
    <w:rsid w:val="00865963"/>
    <w:rsid w:val="00866B65"/>
    <w:rsid w:val="00870A16"/>
    <w:rsid w:val="00874C3C"/>
    <w:rsid w:val="00876787"/>
    <w:rsid w:val="00880A31"/>
    <w:rsid w:val="00880CC4"/>
    <w:rsid w:val="0088166A"/>
    <w:rsid w:val="008829A0"/>
    <w:rsid w:val="00884645"/>
    <w:rsid w:val="00885CBA"/>
    <w:rsid w:val="00886FB5"/>
    <w:rsid w:val="00892C53"/>
    <w:rsid w:val="00895E06"/>
    <w:rsid w:val="00896CE9"/>
    <w:rsid w:val="00897F38"/>
    <w:rsid w:val="008A2B90"/>
    <w:rsid w:val="008A3E06"/>
    <w:rsid w:val="008A748F"/>
    <w:rsid w:val="008B32E0"/>
    <w:rsid w:val="008B391B"/>
    <w:rsid w:val="008B394F"/>
    <w:rsid w:val="008B452D"/>
    <w:rsid w:val="008C2889"/>
    <w:rsid w:val="008C2B27"/>
    <w:rsid w:val="008C30C1"/>
    <w:rsid w:val="008C314D"/>
    <w:rsid w:val="008C6606"/>
    <w:rsid w:val="008C6747"/>
    <w:rsid w:val="008D1399"/>
    <w:rsid w:val="008D2BC1"/>
    <w:rsid w:val="008D3016"/>
    <w:rsid w:val="008D3066"/>
    <w:rsid w:val="008D6CAD"/>
    <w:rsid w:val="008D6FAC"/>
    <w:rsid w:val="008D7930"/>
    <w:rsid w:val="008E0EB9"/>
    <w:rsid w:val="008E12DF"/>
    <w:rsid w:val="008E4344"/>
    <w:rsid w:val="008E454E"/>
    <w:rsid w:val="008E68D6"/>
    <w:rsid w:val="008F1223"/>
    <w:rsid w:val="008F1309"/>
    <w:rsid w:val="008F1C60"/>
    <w:rsid w:val="008F4663"/>
    <w:rsid w:val="008F4A7F"/>
    <w:rsid w:val="00905AFC"/>
    <w:rsid w:val="0090655C"/>
    <w:rsid w:val="00910D8F"/>
    <w:rsid w:val="00911DDC"/>
    <w:rsid w:val="00912BB6"/>
    <w:rsid w:val="00914430"/>
    <w:rsid w:val="00916413"/>
    <w:rsid w:val="00922D3E"/>
    <w:rsid w:val="009250DA"/>
    <w:rsid w:val="0092630D"/>
    <w:rsid w:val="009266EA"/>
    <w:rsid w:val="00930F39"/>
    <w:rsid w:val="0093218C"/>
    <w:rsid w:val="00933C4B"/>
    <w:rsid w:val="0093756B"/>
    <w:rsid w:val="009427BB"/>
    <w:rsid w:val="00942D3B"/>
    <w:rsid w:val="00944641"/>
    <w:rsid w:val="0094532C"/>
    <w:rsid w:val="00945A46"/>
    <w:rsid w:val="00946918"/>
    <w:rsid w:val="00946CD2"/>
    <w:rsid w:val="009476B2"/>
    <w:rsid w:val="00947967"/>
    <w:rsid w:val="00950F7C"/>
    <w:rsid w:val="00950F8F"/>
    <w:rsid w:val="0095104F"/>
    <w:rsid w:val="009511D9"/>
    <w:rsid w:val="0095156E"/>
    <w:rsid w:val="0095165C"/>
    <w:rsid w:val="00953692"/>
    <w:rsid w:val="00953BCD"/>
    <w:rsid w:val="00954BF1"/>
    <w:rsid w:val="00955524"/>
    <w:rsid w:val="00963A23"/>
    <w:rsid w:val="00965624"/>
    <w:rsid w:val="00965F34"/>
    <w:rsid w:val="00972091"/>
    <w:rsid w:val="009738B0"/>
    <w:rsid w:val="00973EA0"/>
    <w:rsid w:val="00974555"/>
    <w:rsid w:val="00976255"/>
    <w:rsid w:val="00976635"/>
    <w:rsid w:val="00977D84"/>
    <w:rsid w:val="009827B1"/>
    <w:rsid w:val="00982C6D"/>
    <w:rsid w:val="00984B12"/>
    <w:rsid w:val="00985449"/>
    <w:rsid w:val="00986F76"/>
    <w:rsid w:val="00987F1B"/>
    <w:rsid w:val="00992BAA"/>
    <w:rsid w:val="009956FB"/>
    <w:rsid w:val="0099671C"/>
    <w:rsid w:val="009A43AA"/>
    <w:rsid w:val="009B4F73"/>
    <w:rsid w:val="009B7A40"/>
    <w:rsid w:val="009B7FAE"/>
    <w:rsid w:val="009C1400"/>
    <w:rsid w:val="009C28F1"/>
    <w:rsid w:val="009C3E93"/>
    <w:rsid w:val="009C41F1"/>
    <w:rsid w:val="009C4677"/>
    <w:rsid w:val="009C6D03"/>
    <w:rsid w:val="009C7F37"/>
    <w:rsid w:val="009D00F9"/>
    <w:rsid w:val="009D1808"/>
    <w:rsid w:val="009D45F4"/>
    <w:rsid w:val="009E4B32"/>
    <w:rsid w:val="009E55F8"/>
    <w:rsid w:val="009F1CF7"/>
    <w:rsid w:val="009F35BD"/>
    <w:rsid w:val="009F3693"/>
    <w:rsid w:val="009F7D81"/>
    <w:rsid w:val="00A00667"/>
    <w:rsid w:val="00A07D62"/>
    <w:rsid w:val="00A10421"/>
    <w:rsid w:val="00A12997"/>
    <w:rsid w:val="00A131DD"/>
    <w:rsid w:val="00A135F0"/>
    <w:rsid w:val="00A14221"/>
    <w:rsid w:val="00A144D1"/>
    <w:rsid w:val="00A1530B"/>
    <w:rsid w:val="00A16A15"/>
    <w:rsid w:val="00A17A5F"/>
    <w:rsid w:val="00A20CBC"/>
    <w:rsid w:val="00A220B9"/>
    <w:rsid w:val="00A2299A"/>
    <w:rsid w:val="00A23259"/>
    <w:rsid w:val="00A24D49"/>
    <w:rsid w:val="00A26E12"/>
    <w:rsid w:val="00A27FB6"/>
    <w:rsid w:val="00A31865"/>
    <w:rsid w:val="00A329DC"/>
    <w:rsid w:val="00A37015"/>
    <w:rsid w:val="00A414AA"/>
    <w:rsid w:val="00A44E9B"/>
    <w:rsid w:val="00A451C7"/>
    <w:rsid w:val="00A45AE2"/>
    <w:rsid w:val="00A47C59"/>
    <w:rsid w:val="00A500B8"/>
    <w:rsid w:val="00A5229C"/>
    <w:rsid w:val="00A52BBD"/>
    <w:rsid w:val="00A52E05"/>
    <w:rsid w:val="00A5515C"/>
    <w:rsid w:val="00A55717"/>
    <w:rsid w:val="00A56E73"/>
    <w:rsid w:val="00A633E8"/>
    <w:rsid w:val="00A644E8"/>
    <w:rsid w:val="00A64599"/>
    <w:rsid w:val="00A650C6"/>
    <w:rsid w:val="00A67500"/>
    <w:rsid w:val="00A67C3E"/>
    <w:rsid w:val="00A70E21"/>
    <w:rsid w:val="00A71CD8"/>
    <w:rsid w:val="00A72178"/>
    <w:rsid w:val="00A74648"/>
    <w:rsid w:val="00A74C13"/>
    <w:rsid w:val="00A84C5A"/>
    <w:rsid w:val="00AA1EAB"/>
    <w:rsid w:val="00AA37AF"/>
    <w:rsid w:val="00AA5A73"/>
    <w:rsid w:val="00AA614A"/>
    <w:rsid w:val="00AA6A2A"/>
    <w:rsid w:val="00AB1809"/>
    <w:rsid w:val="00AB1C8E"/>
    <w:rsid w:val="00AB3B89"/>
    <w:rsid w:val="00AB4E93"/>
    <w:rsid w:val="00AB6C4F"/>
    <w:rsid w:val="00AB722A"/>
    <w:rsid w:val="00AC0224"/>
    <w:rsid w:val="00AC1515"/>
    <w:rsid w:val="00AC1C51"/>
    <w:rsid w:val="00AC4C87"/>
    <w:rsid w:val="00AC63D2"/>
    <w:rsid w:val="00AD16E9"/>
    <w:rsid w:val="00AD1A78"/>
    <w:rsid w:val="00AD4269"/>
    <w:rsid w:val="00AD5020"/>
    <w:rsid w:val="00AD7DE1"/>
    <w:rsid w:val="00AE0710"/>
    <w:rsid w:val="00AE1F6B"/>
    <w:rsid w:val="00AE2D91"/>
    <w:rsid w:val="00AE5F79"/>
    <w:rsid w:val="00AF06FF"/>
    <w:rsid w:val="00AF484F"/>
    <w:rsid w:val="00AF54AE"/>
    <w:rsid w:val="00B04EB5"/>
    <w:rsid w:val="00B05BFE"/>
    <w:rsid w:val="00B066E6"/>
    <w:rsid w:val="00B12470"/>
    <w:rsid w:val="00B13DA7"/>
    <w:rsid w:val="00B14E0B"/>
    <w:rsid w:val="00B1737D"/>
    <w:rsid w:val="00B17F97"/>
    <w:rsid w:val="00B23A77"/>
    <w:rsid w:val="00B25AEE"/>
    <w:rsid w:val="00B303B0"/>
    <w:rsid w:val="00B30780"/>
    <w:rsid w:val="00B30B12"/>
    <w:rsid w:val="00B30CE0"/>
    <w:rsid w:val="00B3171A"/>
    <w:rsid w:val="00B33182"/>
    <w:rsid w:val="00B33741"/>
    <w:rsid w:val="00B33982"/>
    <w:rsid w:val="00B362EC"/>
    <w:rsid w:val="00B417DF"/>
    <w:rsid w:val="00B41BD3"/>
    <w:rsid w:val="00B42084"/>
    <w:rsid w:val="00B423DE"/>
    <w:rsid w:val="00B42A64"/>
    <w:rsid w:val="00B453C5"/>
    <w:rsid w:val="00B45B96"/>
    <w:rsid w:val="00B476B5"/>
    <w:rsid w:val="00B5068B"/>
    <w:rsid w:val="00B50A1B"/>
    <w:rsid w:val="00B5142D"/>
    <w:rsid w:val="00B551E4"/>
    <w:rsid w:val="00B555B2"/>
    <w:rsid w:val="00B5782A"/>
    <w:rsid w:val="00B60C3C"/>
    <w:rsid w:val="00B61020"/>
    <w:rsid w:val="00B613D9"/>
    <w:rsid w:val="00B627E7"/>
    <w:rsid w:val="00B632C3"/>
    <w:rsid w:val="00B64236"/>
    <w:rsid w:val="00B64F2C"/>
    <w:rsid w:val="00B66C62"/>
    <w:rsid w:val="00B713C0"/>
    <w:rsid w:val="00B73EE0"/>
    <w:rsid w:val="00B7547F"/>
    <w:rsid w:val="00B75E17"/>
    <w:rsid w:val="00B822E0"/>
    <w:rsid w:val="00B82361"/>
    <w:rsid w:val="00B85D54"/>
    <w:rsid w:val="00B8613B"/>
    <w:rsid w:val="00B8630D"/>
    <w:rsid w:val="00B90D98"/>
    <w:rsid w:val="00B94791"/>
    <w:rsid w:val="00BA2597"/>
    <w:rsid w:val="00BA2B92"/>
    <w:rsid w:val="00BA3D29"/>
    <w:rsid w:val="00BB00F6"/>
    <w:rsid w:val="00BB1AE7"/>
    <w:rsid w:val="00BB340D"/>
    <w:rsid w:val="00BB3C32"/>
    <w:rsid w:val="00BC1262"/>
    <w:rsid w:val="00BC3DE5"/>
    <w:rsid w:val="00BD1554"/>
    <w:rsid w:val="00BD2065"/>
    <w:rsid w:val="00BD2EF6"/>
    <w:rsid w:val="00BD401E"/>
    <w:rsid w:val="00BD4533"/>
    <w:rsid w:val="00BD523A"/>
    <w:rsid w:val="00BE09CF"/>
    <w:rsid w:val="00BE3477"/>
    <w:rsid w:val="00BE46D6"/>
    <w:rsid w:val="00BE4FA5"/>
    <w:rsid w:val="00BE6155"/>
    <w:rsid w:val="00BF0B61"/>
    <w:rsid w:val="00BF0C25"/>
    <w:rsid w:val="00BF25B2"/>
    <w:rsid w:val="00BF35D3"/>
    <w:rsid w:val="00BF694C"/>
    <w:rsid w:val="00C01DD2"/>
    <w:rsid w:val="00C02812"/>
    <w:rsid w:val="00C02FB8"/>
    <w:rsid w:val="00C05484"/>
    <w:rsid w:val="00C05EF9"/>
    <w:rsid w:val="00C06268"/>
    <w:rsid w:val="00C07196"/>
    <w:rsid w:val="00C1378A"/>
    <w:rsid w:val="00C15A53"/>
    <w:rsid w:val="00C15F82"/>
    <w:rsid w:val="00C16B68"/>
    <w:rsid w:val="00C17896"/>
    <w:rsid w:val="00C20E90"/>
    <w:rsid w:val="00C22737"/>
    <w:rsid w:val="00C238D2"/>
    <w:rsid w:val="00C23E99"/>
    <w:rsid w:val="00C25D71"/>
    <w:rsid w:val="00C2606B"/>
    <w:rsid w:val="00C3220D"/>
    <w:rsid w:val="00C3472D"/>
    <w:rsid w:val="00C35BFB"/>
    <w:rsid w:val="00C37C10"/>
    <w:rsid w:val="00C47A33"/>
    <w:rsid w:val="00C510AC"/>
    <w:rsid w:val="00C53B94"/>
    <w:rsid w:val="00C54950"/>
    <w:rsid w:val="00C5562E"/>
    <w:rsid w:val="00C557EC"/>
    <w:rsid w:val="00C60F03"/>
    <w:rsid w:val="00C61A1B"/>
    <w:rsid w:val="00C62850"/>
    <w:rsid w:val="00C631FD"/>
    <w:rsid w:val="00C64C7A"/>
    <w:rsid w:val="00C664EE"/>
    <w:rsid w:val="00C6683E"/>
    <w:rsid w:val="00C67150"/>
    <w:rsid w:val="00C6741D"/>
    <w:rsid w:val="00C70581"/>
    <w:rsid w:val="00C7083F"/>
    <w:rsid w:val="00C7303B"/>
    <w:rsid w:val="00C734E3"/>
    <w:rsid w:val="00C75F7F"/>
    <w:rsid w:val="00C77B8E"/>
    <w:rsid w:val="00C8024C"/>
    <w:rsid w:val="00C810BF"/>
    <w:rsid w:val="00C8118D"/>
    <w:rsid w:val="00C83E80"/>
    <w:rsid w:val="00C91C72"/>
    <w:rsid w:val="00C9417B"/>
    <w:rsid w:val="00C94D13"/>
    <w:rsid w:val="00C97ED3"/>
    <w:rsid w:val="00CA0AC9"/>
    <w:rsid w:val="00CA1857"/>
    <w:rsid w:val="00CA29FE"/>
    <w:rsid w:val="00CA33FF"/>
    <w:rsid w:val="00CA7116"/>
    <w:rsid w:val="00CB4F83"/>
    <w:rsid w:val="00CB6BD1"/>
    <w:rsid w:val="00CC04B9"/>
    <w:rsid w:val="00CC093F"/>
    <w:rsid w:val="00CC226F"/>
    <w:rsid w:val="00CC50C1"/>
    <w:rsid w:val="00CC7A3D"/>
    <w:rsid w:val="00CD0923"/>
    <w:rsid w:val="00CD24D6"/>
    <w:rsid w:val="00CD3274"/>
    <w:rsid w:val="00CD599D"/>
    <w:rsid w:val="00CD5BC0"/>
    <w:rsid w:val="00CD5D0E"/>
    <w:rsid w:val="00CD5FFF"/>
    <w:rsid w:val="00CD688B"/>
    <w:rsid w:val="00CD6A21"/>
    <w:rsid w:val="00CD79AD"/>
    <w:rsid w:val="00CE0CCC"/>
    <w:rsid w:val="00CE284B"/>
    <w:rsid w:val="00CF1561"/>
    <w:rsid w:val="00D0239E"/>
    <w:rsid w:val="00D04B81"/>
    <w:rsid w:val="00D14941"/>
    <w:rsid w:val="00D151F6"/>
    <w:rsid w:val="00D15F74"/>
    <w:rsid w:val="00D20B94"/>
    <w:rsid w:val="00D20E98"/>
    <w:rsid w:val="00D230BB"/>
    <w:rsid w:val="00D25C12"/>
    <w:rsid w:val="00D27451"/>
    <w:rsid w:val="00D31133"/>
    <w:rsid w:val="00D32CA1"/>
    <w:rsid w:val="00D32EBC"/>
    <w:rsid w:val="00D34516"/>
    <w:rsid w:val="00D34CCA"/>
    <w:rsid w:val="00D36E24"/>
    <w:rsid w:val="00D378B0"/>
    <w:rsid w:val="00D37A87"/>
    <w:rsid w:val="00D37D29"/>
    <w:rsid w:val="00D40724"/>
    <w:rsid w:val="00D41D2F"/>
    <w:rsid w:val="00D42785"/>
    <w:rsid w:val="00D44D18"/>
    <w:rsid w:val="00D550D9"/>
    <w:rsid w:val="00D64DF7"/>
    <w:rsid w:val="00D65CB9"/>
    <w:rsid w:val="00D666AA"/>
    <w:rsid w:val="00D67736"/>
    <w:rsid w:val="00D70802"/>
    <w:rsid w:val="00D71878"/>
    <w:rsid w:val="00D72053"/>
    <w:rsid w:val="00D730E5"/>
    <w:rsid w:val="00D745DB"/>
    <w:rsid w:val="00D74B34"/>
    <w:rsid w:val="00D7635D"/>
    <w:rsid w:val="00D776F5"/>
    <w:rsid w:val="00D77BBF"/>
    <w:rsid w:val="00D8024A"/>
    <w:rsid w:val="00D83099"/>
    <w:rsid w:val="00D83103"/>
    <w:rsid w:val="00D86C9F"/>
    <w:rsid w:val="00D90566"/>
    <w:rsid w:val="00D94428"/>
    <w:rsid w:val="00D94F95"/>
    <w:rsid w:val="00D96186"/>
    <w:rsid w:val="00D97C18"/>
    <w:rsid w:val="00DA1120"/>
    <w:rsid w:val="00DA3252"/>
    <w:rsid w:val="00DA51ED"/>
    <w:rsid w:val="00DA6B7B"/>
    <w:rsid w:val="00DA6BA5"/>
    <w:rsid w:val="00DB1220"/>
    <w:rsid w:val="00DB21D2"/>
    <w:rsid w:val="00DB22D2"/>
    <w:rsid w:val="00DB4CA6"/>
    <w:rsid w:val="00DC0875"/>
    <w:rsid w:val="00DC17F1"/>
    <w:rsid w:val="00DC4D94"/>
    <w:rsid w:val="00DC5CE8"/>
    <w:rsid w:val="00DC718D"/>
    <w:rsid w:val="00DD189C"/>
    <w:rsid w:val="00DD37AC"/>
    <w:rsid w:val="00DD690C"/>
    <w:rsid w:val="00DE025E"/>
    <w:rsid w:val="00DE2402"/>
    <w:rsid w:val="00DE35DF"/>
    <w:rsid w:val="00DE4051"/>
    <w:rsid w:val="00DE645F"/>
    <w:rsid w:val="00DF1276"/>
    <w:rsid w:val="00DF127D"/>
    <w:rsid w:val="00DF49FF"/>
    <w:rsid w:val="00DF7846"/>
    <w:rsid w:val="00E01EEA"/>
    <w:rsid w:val="00E0219C"/>
    <w:rsid w:val="00E02B15"/>
    <w:rsid w:val="00E03CE3"/>
    <w:rsid w:val="00E04B06"/>
    <w:rsid w:val="00E11701"/>
    <w:rsid w:val="00E13A3C"/>
    <w:rsid w:val="00E1522B"/>
    <w:rsid w:val="00E217A0"/>
    <w:rsid w:val="00E25024"/>
    <w:rsid w:val="00E30FB2"/>
    <w:rsid w:val="00E34D35"/>
    <w:rsid w:val="00E351FE"/>
    <w:rsid w:val="00E3540A"/>
    <w:rsid w:val="00E355E7"/>
    <w:rsid w:val="00E3635E"/>
    <w:rsid w:val="00E4469A"/>
    <w:rsid w:val="00E47623"/>
    <w:rsid w:val="00E5018E"/>
    <w:rsid w:val="00E55094"/>
    <w:rsid w:val="00E55F84"/>
    <w:rsid w:val="00E567C3"/>
    <w:rsid w:val="00E56E60"/>
    <w:rsid w:val="00E602CE"/>
    <w:rsid w:val="00E62702"/>
    <w:rsid w:val="00E64627"/>
    <w:rsid w:val="00E65118"/>
    <w:rsid w:val="00E65508"/>
    <w:rsid w:val="00E70C6F"/>
    <w:rsid w:val="00E713AE"/>
    <w:rsid w:val="00E7180A"/>
    <w:rsid w:val="00E73471"/>
    <w:rsid w:val="00E8060A"/>
    <w:rsid w:val="00E8158D"/>
    <w:rsid w:val="00E84713"/>
    <w:rsid w:val="00E850C0"/>
    <w:rsid w:val="00E93D32"/>
    <w:rsid w:val="00E967A9"/>
    <w:rsid w:val="00E97721"/>
    <w:rsid w:val="00EA08C1"/>
    <w:rsid w:val="00EA0CC5"/>
    <w:rsid w:val="00EA19D2"/>
    <w:rsid w:val="00EA20DE"/>
    <w:rsid w:val="00EA20F1"/>
    <w:rsid w:val="00EA4BA4"/>
    <w:rsid w:val="00EA54BD"/>
    <w:rsid w:val="00EA62D5"/>
    <w:rsid w:val="00EB3E21"/>
    <w:rsid w:val="00EB4291"/>
    <w:rsid w:val="00EB660E"/>
    <w:rsid w:val="00EC0016"/>
    <w:rsid w:val="00EC04AB"/>
    <w:rsid w:val="00EC1526"/>
    <w:rsid w:val="00EC20B2"/>
    <w:rsid w:val="00EC38CE"/>
    <w:rsid w:val="00EC3ED4"/>
    <w:rsid w:val="00EC64B6"/>
    <w:rsid w:val="00EC69C6"/>
    <w:rsid w:val="00ED019F"/>
    <w:rsid w:val="00ED01DA"/>
    <w:rsid w:val="00ED09EA"/>
    <w:rsid w:val="00ED0A34"/>
    <w:rsid w:val="00ED0B44"/>
    <w:rsid w:val="00ED2E43"/>
    <w:rsid w:val="00ED4C93"/>
    <w:rsid w:val="00ED6BFE"/>
    <w:rsid w:val="00EE1ADE"/>
    <w:rsid w:val="00EE2B6F"/>
    <w:rsid w:val="00EE3B03"/>
    <w:rsid w:val="00EF1005"/>
    <w:rsid w:val="00EF1FDE"/>
    <w:rsid w:val="00EF4591"/>
    <w:rsid w:val="00EF4CE6"/>
    <w:rsid w:val="00F0007D"/>
    <w:rsid w:val="00F002EF"/>
    <w:rsid w:val="00F0108F"/>
    <w:rsid w:val="00F04D39"/>
    <w:rsid w:val="00F05DA8"/>
    <w:rsid w:val="00F0640C"/>
    <w:rsid w:val="00F107E2"/>
    <w:rsid w:val="00F14E63"/>
    <w:rsid w:val="00F14EE9"/>
    <w:rsid w:val="00F16D49"/>
    <w:rsid w:val="00F17EBD"/>
    <w:rsid w:val="00F203D0"/>
    <w:rsid w:val="00F205CA"/>
    <w:rsid w:val="00F20B8D"/>
    <w:rsid w:val="00F21170"/>
    <w:rsid w:val="00F23CF4"/>
    <w:rsid w:val="00F25685"/>
    <w:rsid w:val="00F26A7D"/>
    <w:rsid w:val="00F2742C"/>
    <w:rsid w:val="00F31044"/>
    <w:rsid w:val="00F3527F"/>
    <w:rsid w:val="00F374DA"/>
    <w:rsid w:val="00F3755D"/>
    <w:rsid w:val="00F37838"/>
    <w:rsid w:val="00F415B6"/>
    <w:rsid w:val="00F4191B"/>
    <w:rsid w:val="00F42853"/>
    <w:rsid w:val="00F42DE5"/>
    <w:rsid w:val="00F43041"/>
    <w:rsid w:val="00F43576"/>
    <w:rsid w:val="00F43787"/>
    <w:rsid w:val="00F47F26"/>
    <w:rsid w:val="00F5471F"/>
    <w:rsid w:val="00F56177"/>
    <w:rsid w:val="00F563C4"/>
    <w:rsid w:val="00F60618"/>
    <w:rsid w:val="00F60B20"/>
    <w:rsid w:val="00F62FAF"/>
    <w:rsid w:val="00F6494D"/>
    <w:rsid w:val="00F671C4"/>
    <w:rsid w:val="00F675EF"/>
    <w:rsid w:val="00F67CB7"/>
    <w:rsid w:val="00F70E8B"/>
    <w:rsid w:val="00F71C91"/>
    <w:rsid w:val="00F727C4"/>
    <w:rsid w:val="00F74F0E"/>
    <w:rsid w:val="00F75C53"/>
    <w:rsid w:val="00F80F1E"/>
    <w:rsid w:val="00F815CD"/>
    <w:rsid w:val="00F82294"/>
    <w:rsid w:val="00F848EF"/>
    <w:rsid w:val="00F85BB1"/>
    <w:rsid w:val="00F86080"/>
    <w:rsid w:val="00F91301"/>
    <w:rsid w:val="00F93080"/>
    <w:rsid w:val="00F931A8"/>
    <w:rsid w:val="00F933A7"/>
    <w:rsid w:val="00F940CC"/>
    <w:rsid w:val="00F9511C"/>
    <w:rsid w:val="00FA1F3D"/>
    <w:rsid w:val="00FA65E7"/>
    <w:rsid w:val="00FB1625"/>
    <w:rsid w:val="00FB168C"/>
    <w:rsid w:val="00FB6772"/>
    <w:rsid w:val="00FC3127"/>
    <w:rsid w:val="00FC5D1C"/>
    <w:rsid w:val="00FC6563"/>
    <w:rsid w:val="00FD0F87"/>
    <w:rsid w:val="00FD396C"/>
    <w:rsid w:val="00FD4497"/>
    <w:rsid w:val="00FD4AA5"/>
    <w:rsid w:val="00FD585D"/>
    <w:rsid w:val="00FE1189"/>
    <w:rsid w:val="00FE13EC"/>
    <w:rsid w:val="00FE1DBE"/>
    <w:rsid w:val="00FE2370"/>
    <w:rsid w:val="00FE2616"/>
    <w:rsid w:val="00FE2BC4"/>
    <w:rsid w:val="00FE7286"/>
    <w:rsid w:val="00FF0334"/>
    <w:rsid w:val="00FF0444"/>
    <w:rsid w:val="00FF1A2C"/>
    <w:rsid w:val="00FF2035"/>
    <w:rsid w:val="00FF6EB3"/>
    <w:rsid w:val="00FF705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5406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before="120" w:after="120"/>
      <w:ind w:firstLine="425"/>
      <w:jc w:val="both"/>
    </w:pPr>
    <w:rPr>
      <w:sz w:val="22"/>
      <w:szCs w:val="22"/>
      <w:lang w:val="lt-LT"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7B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link w:val="ColorfulList-Accent1Char"/>
    <w:uiPriority w:val="34"/>
    <w:qFormat/>
    <w:rsid w:val="0026481C"/>
    <w:pPr>
      <w:ind w:left="720"/>
      <w:contextualSpacing/>
    </w:pPr>
  </w:style>
  <w:style w:type="character" w:styleId="CommentReference">
    <w:name w:val="annotation reference"/>
    <w:unhideWhenUsed/>
    <w:rsid w:val="00AB4E93"/>
    <w:rPr>
      <w:sz w:val="16"/>
      <w:szCs w:val="16"/>
    </w:rPr>
  </w:style>
  <w:style w:type="paragraph" w:styleId="CommentText">
    <w:name w:val="annotation text"/>
    <w:basedOn w:val="Normal"/>
    <w:link w:val="CommentTextChar"/>
    <w:uiPriority w:val="99"/>
    <w:semiHidden/>
    <w:unhideWhenUsed/>
    <w:rsid w:val="00AB4E93"/>
    <w:rPr>
      <w:sz w:val="20"/>
      <w:szCs w:val="20"/>
    </w:rPr>
  </w:style>
  <w:style w:type="character" w:customStyle="1" w:styleId="CommentTextChar">
    <w:name w:val="Comment Text Char"/>
    <w:link w:val="CommentText"/>
    <w:uiPriority w:val="99"/>
    <w:semiHidden/>
    <w:rsid w:val="00AB4E93"/>
    <w:rPr>
      <w:sz w:val="20"/>
      <w:szCs w:val="20"/>
    </w:rPr>
  </w:style>
  <w:style w:type="paragraph" w:styleId="CommentSubject">
    <w:name w:val="annotation subject"/>
    <w:basedOn w:val="CommentText"/>
    <w:next w:val="CommentText"/>
    <w:link w:val="CommentSubjectChar"/>
    <w:uiPriority w:val="99"/>
    <w:semiHidden/>
    <w:unhideWhenUsed/>
    <w:rsid w:val="00AB4E93"/>
    <w:rPr>
      <w:b/>
      <w:bCs/>
    </w:rPr>
  </w:style>
  <w:style w:type="character" w:customStyle="1" w:styleId="CommentSubjectChar">
    <w:name w:val="Comment Subject Char"/>
    <w:link w:val="CommentSubject"/>
    <w:uiPriority w:val="99"/>
    <w:semiHidden/>
    <w:rsid w:val="00AB4E93"/>
    <w:rPr>
      <w:b/>
      <w:bCs/>
      <w:sz w:val="20"/>
      <w:szCs w:val="20"/>
    </w:rPr>
  </w:style>
  <w:style w:type="paragraph" w:styleId="BalloonText">
    <w:name w:val="Balloon Text"/>
    <w:basedOn w:val="Normal"/>
    <w:link w:val="BalloonTextChar"/>
    <w:uiPriority w:val="99"/>
    <w:semiHidden/>
    <w:unhideWhenUsed/>
    <w:rsid w:val="00AB4E93"/>
    <w:pPr>
      <w:spacing w:after="0"/>
    </w:pPr>
    <w:rPr>
      <w:rFonts w:ascii="Segoe UI" w:hAnsi="Segoe UI" w:cs="Segoe UI"/>
      <w:sz w:val="18"/>
      <w:szCs w:val="18"/>
    </w:rPr>
  </w:style>
  <w:style w:type="character" w:customStyle="1" w:styleId="BalloonTextChar">
    <w:name w:val="Balloon Text Char"/>
    <w:link w:val="BalloonText"/>
    <w:uiPriority w:val="99"/>
    <w:semiHidden/>
    <w:rsid w:val="00AB4E93"/>
    <w:rPr>
      <w:rFonts w:ascii="Segoe UI" w:hAnsi="Segoe UI" w:cs="Segoe UI"/>
      <w:sz w:val="18"/>
      <w:szCs w:val="18"/>
    </w:rPr>
  </w:style>
  <w:style w:type="paragraph" w:customStyle="1" w:styleId="ColorfulShading-Accent11">
    <w:name w:val="Colorful Shading - Accent 11"/>
    <w:hidden/>
    <w:uiPriority w:val="99"/>
    <w:semiHidden/>
    <w:rsid w:val="00F23CF4"/>
    <w:pPr>
      <w:spacing w:before="120" w:after="120"/>
      <w:ind w:firstLine="425"/>
      <w:jc w:val="both"/>
    </w:pPr>
    <w:rPr>
      <w:sz w:val="22"/>
      <w:szCs w:val="22"/>
      <w:lang w:val="ru-RU" w:eastAsia="en-US"/>
    </w:rPr>
  </w:style>
  <w:style w:type="character" w:styleId="Hyperlink">
    <w:name w:val="Hyperlink"/>
    <w:rsid w:val="000A336E"/>
    <w:rPr>
      <w:color w:val="0000FF"/>
      <w:u w:val="single"/>
    </w:rPr>
  </w:style>
  <w:style w:type="paragraph" w:customStyle="1" w:styleId="Normal12pt">
    <w:name w:val="Normal + 12 pt"/>
    <w:basedOn w:val="Normal"/>
    <w:link w:val="Normal12ptChar"/>
    <w:rsid w:val="000A336E"/>
    <w:pPr>
      <w:tabs>
        <w:tab w:val="left" w:pos="737"/>
      </w:tabs>
      <w:spacing w:after="0"/>
      <w:ind w:right="-283"/>
    </w:pPr>
    <w:rPr>
      <w:rFonts w:ascii="Times New Roman" w:eastAsia="Times New Roman" w:hAnsi="Times New Roman"/>
      <w:sz w:val="24"/>
      <w:szCs w:val="24"/>
    </w:rPr>
  </w:style>
  <w:style w:type="character" w:customStyle="1" w:styleId="Normal12ptChar">
    <w:name w:val="Normal + 12 pt Char"/>
    <w:link w:val="Normal12pt"/>
    <w:rsid w:val="000A336E"/>
    <w:rPr>
      <w:rFonts w:ascii="Times New Roman" w:eastAsia="Times New Roman" w:hAnsi="Times New Roman" w:cs="Times New Roman"/>
      <w:sz w:val="24"/>
      <w:szCs w:val="24"/>
      <w:lang w:val="lt-LT"/>
    </w:rPr>
  </w:style>
  <w:style w:type="paragraph" w:styleId="FootnoteText">
    <w:name w:val="footnote text"/>
    <w:basedOn w:val="Normal"/>
    <w:link w:val="FootnoteTextChar"/>
    <w:uiPriority w:val="99"/>
    <w:semiHidden/>
    <w:unhideWhenUsed/>
    <w:rsid w:val="006741AE"/>
    <w:pPr>
      <w:spacing w:after="0"/>
    </w:pPr>
    <w:rPr>
      <w:sz w:val="20"/>
      <w:szCs w:val="20"/>
    </w:rPr>
  </w:style>
  <w:style w:type="character" w:customStyle="1" w:styleId="FootnoteTextChar">
    <w:name w:val="Footnote Text Char"/>
    <w:link w:val="FootnoteText"/>
    <w:uiPriority w:val="99"/>
    <w:semiHidden/>
    <w:rsid w:val="006741AE"/>
    <w:rPr>
      <w:sz w:val="20"/>
      <w:szCs w:val="20"/>
    </w:rPr>
  </w:style>
  <w:style w:type="character" w:styleId="FootnoteReference">
    <w:name w:val="footnote reference"/>
    <w:uiPriority w:val="99"/>
    <w:unhideWhenUsed/>
    <w:rsid w:val="006741AE"/>
    <w:rPr>
      <w:vertAlign w:val="superscript"/>
    </w:rPr>
  </w:style>
  <w:style w:type="paragraph" w:styleId="Header">
    <w:name w:val="header"/>
    <w:basedOn w:val="Normal"/>
    <w:link w:val="HeaderChar"/>
    <w:uiPriority w:val="99"/>
    <w:unhideWhenUsed/>
    <w:rsid w:val="00D37A87"/>
    <w:pPr>
      <w:tabs>
        <w:tab w:val="center" w:pos="4680"/>
        <w:tab w:val="right" w:pos="9360"/>
      </w:tabs>
      <w:spacing w:after="0"/>
    </w:pPr>
  </w:style>
  <w:style w:type="character" w:customStyle="1" w:styleId="HeaderChar">
    <w:name w:val="Header Char"/>
    <w:basedOn w:val="DefaultParagraphFont"/>
    <w:link w:val="Header"/>
    <w:uiPriority w:val="99"/>
    <w:rsid w:val="00D37A87"/>
  </w:style>
  <w:style w:type="paragraph" w:styleId="Footer">
    <w:name w:val="footer"/>
    <w:basedOn w:val="Normal"/>
    <w:link w:val="FooterChar"/>
    <w:uiPriority w:val="99"/>
    <w:unhideWhenUsed/>
    <w:rsid w:val="00D37A87"/>
    <w:pPr>
      <w:tabs>
        <w:tab w:val="center" w:pos="4680"/>
        <w:tab w:val="right" w:pos="9360"/>
      </w:tabs>
      <w:spacing w:after="0"/>
    </w:pPr>
  </w:style>
  <w:style w:type="character" w:customStyle="1" w:styleId="FooterChar">
    <w:name w:val="Footer Char"/>
    <w:basedOn w:val="DefaultParagraphFont"/>
    <w:link w:val="Footer"/>
    <w:uiPriority w:val="99"/>
    <w:rsid w:val="00D37A87"/>
  </w:style>
  <w:style w:type="paragraph" w:styleId="EndnoteText">
    <w:name w:val="endnote text"/>
    <w:basedOn w:val="Normal"/>
    <w:link w:val="EndnoteTextChar"/>
    <w:uiPriority w:val="99"/>
    <w:semiHidden/>
    <w:unhideWhenUsed/>
    <w:rsid w:val="00AB3B89"/>
    <w:rPr>
      <w:sz w:val="20"/>
      <w:szCs w:val="20"/>
    </w:rPr>
  </w:style>
  <w:style w:type="character" w:customStyle="1" w:styleId="EndnoteTextChar">
    <w:name w:val="Endnote Text Char"/>
    <w:link w:val="EndnoteText"/>
    <w:uiPriority w:val="99"/>
    <w:semiHidden/>
    <w:rsid w:val="00AB3B89"/>
    <w:rPr>
      <w:lang w:eastAsia="en-US"/>
    </w:rPr>
  </w:style>
  <w:style w:type="character" w:styleId="EndnoteReference">
    <w:name w:val="endnote reference"/>
    <w:uiPriority w:val="99"/>
    <w:semiHidden/>
    <w:unhideWhenUsed/>
    <w:rsid w:val="00AB3B89"/>
    <w:rPr>
      <w:vertAlign w:val="superscript"/>
    </w:rPr>
  </w:style>
  <w:style w:type="character" w:customStyle="1" w:styleId="ColorfulList-Accent1Char">
    <w:name w:val="Colorful List - Accent 1 Char"/>
    <w:link w:val="ColorfulList-Accent11"/>
    <w:uiPriority w:val="34"/>
    <w:locked/>
    <w:rsid w:val="00083285"/>
    <w:rPr>
      <w:sz w:val="22"/>
      <w:szCs w:val="22"/>
      <w:lang w:eastAsia="en-US"/>
    </w:rPr>
  </w:style>
  <w:style w:type="paragraph" w:customStyle="1" w:styleId="MediumGrid21">
    <w:name w:val="Medium Grid 21"/>
    <w:uiPriority w:val="1"/>
    <w:qFormat/>
    <w:rsid w:val="003532BF"/>
    <w:pPr>
      <w:spacing w:before="120" w:after="120"/>
      <w:ind w:firstLine="425"/>
      <w:jc w:val="both"/>
    </w:pPr>
    <w:rPr>
      <w:sz w:val="22"/>
      <w:szCs w:val="22"/>
      <w:lang w:val="ru-RU" w:eastAsia="en-US"/>
    </w:rPr>
  </w:style>
  <w:style w:type="paragraph" w:styleId="ListParagraph">
    <w:name w:val="List Paragraph"/>
    <w:basedOn w:val="Normal"/>
    <w:rsid w:val="00A67C3E"/>
    <w:pPr>
      <w:suppressAutoHyphens/>
      <w:autoSpaceDN w:val="0"/>
      <w:spacing w:before="0" w:after="160" w:line="254" w:lineRule="auto"/>
      <w:ind w:left="720" w:firstLine="0"/>
      <w:jc w:val="left"/>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84717">
      <w:bodyDiv w:val="1"/>
      <w:marLeft w:val="0"/>
      <w:marRight w:val="0"/>
      <w:marTop w:val="0"/>
      <w:marBottom w:val="0"/>
      <w:divBdr>
        <w:top w:val="none" w:sz="0" w:space="0" w:color="auto"/>
        <w:left w:val="none" w:sz="0" w:space="0" w:color="auto"/>
        <w:bottom w:val="none" w:sz="0" w:space="0" w:color="auto"/>
        <w:right w:val="none" w:sz="0" w:space="0" w:color="auto"/>
      </w:divBdr>
      <w:divsChild>
        <w:div w:id="1429041493">
          <w:marLeft w:val="0"/>
          <w:marRight w:val="0"/>
          <w:marTop w:val="0"/>
          <w:marBottom w:val="0"/>
          <w:divBdr>
            <w:top w:val="none" w:sz="0" w:space="0" w:color="auto"/>
            <w:left w:val="none" w:sz="0" w:space="0" w:color="auto"/>
            <w:bottom w:val="none" w:sz="0" w:space="0" w:color="auto"/>
            <w:right w:val="none" w:sz="0" w:space="0" w:color="auto"/>
          </w:divBdr>
        </w:div>
      </w:divsChild>
    </w:div>
    <w:div w:id="177278103">
      <w:bodyDiv w:val="1"/>
      <w:marLeft w:val="0"/>
      <w:marRight w:val="0"/>
      <w:marTop w:val="0"/>
      <w:marBottom w:val="0"/>
      <w:divBdr>
        <w:top w:val="none" w:sz="0" w:space="0" w:color="auto"/>
        <w:left w:val="none" w:sz="0" w:space="0" w:color="auto"/>
        <w:bottom w:val="none" w:sz="0" w:space="0" w:color="auto"/>
        <w:right w:val="none" w:sz="0" w:space="0" w:color="auto"/>
      </w:divBdr>
    </w:div>
    <w:div w:id="236746857">
      <w:bodyDiv w:val="1"/>
      <w:marLeft w:val="0"/>
      <w:marRight w:val="0"/>
      <w:marTop w:val="0"/>
      <w:marBottom w:val="0"/>
      <w:divBdr>
        <w:top w:val="none" w:sz="0" w:space="0" w:color="auto"/>
        <w:left w:val="none" w:sz="0" w:space="0" w:color="auto"/>
        <w:bottom w:val="none" w:sz="0" w:space="0" w:color="auto"/>
        <w:right w:val="none" w:sz="0" w:space="0" w:color="auto"/>
      </w:divBdr>
    </w:div>
    <w:div w:id="238953343">
      <w:bodyDiv w:val="1"/>
      <w:marLeft w:val="0"/>
      <w:marRight w:val="0"/>
      <w:marTop w:val="0"/>
      <w:marBottom w:val="0"/>
      <w:divBdr>
        <w:top w:val="none" w:sz="0" w:space="0" w:color="auto"/>
        <w:left w:val="none" w:sz="0" w:space="0" w:color="auto"/>
        <w:bottom w:val="none" w:sz="0" w:space="0" w:color="auto"/>
        <w:right w:val="none" w:sz="0" w:space="0" w:color="auto"/>
      </w:divBdr>
    </w:div>
    <w:div w:id="445467702">
      <w:bodyDiv w:val="1"/>
      <w:marLeft w:val="0"/>
      <w:marRight w:val="0"/>
      <w:marTop w:val="0"/>
      <w:marBottom w:val="0"/>
      <w:divBdr>
        <w:top w:val="none" w:sz="0" w:space="0" w:color="auto"/>
        <w:left w:val="none" w:sz="0" w:space="0" w:color="auto"/>
        <w:bottom w:val="none" w:sz="0" w:space="0" w:color="auto"/>
        <w:right w:val="none" w:sz="0" w:space="0" w:color="auto"/>
      </w:divBdr>
      <w:divsChild>
        <w:div w:id="493188555">
          <w:marLeft w:val="0"/>
          <w:marRight w:val="0"/>
          <w:marTop w:val="0"/>
          <w:marBottom w:val="0"/>
          <w:divBdr>
            <w:top w:val="none" w:sz="0" w:space="0" w:color="auto"/>
            <w:left w:val="none" w:sz="0" w:space="0" w:color="auto"/>
            <w:bottom w:val="none" w:sz="0" w:space="0" w:color="auto"/>
            <w:right w:val="none" w:sz="0" w:space="0" w:color="auto"/>
          </w:divBdr>
          <w:divsChild>
            <w:div w:id="2138066550">
              <w:marLeft w:val="0"/>
              <w:marRight w:val="0"/>
              <w:marTop w:val="0"/>
              <w:marBottom w:val="0"/>
              <w:divBdr>
                <w:top w:val="none" w:sz="0" w:space="0" w:color="auto"/>
                <w:left w:val="none" w:sz="0" w:space="0" w:color="auto"/>
                <w:bottom w:val="none" w:sz="0" w:space="0" w:color="auto"/>
                <w:right w:val="none" w:sz="0" w:space="0" w:color="auto"/>
              </w:divBdr>
              <w:divsChild>
                <w:div w:id="1669626004">
                  <w:marLeft w:val="0"/>
                  <w:marRight w:val="0"/>
                  <w:marTop w:val="0"/>
                  <w:marBottom w:val="0"/>
                  <w:divBdr>
                    <w:top w:val="none" w:sz="0" w:space="0" w:color="auto"/>
                    <w:left w:val="none" w:sz="0" w:space="0" w:color="auto"/>
                    <w:bottom w:val="none" w:sz="0" w:space="0" w:color="auto"/>
                    <w:right w:val="none" w:sz="0" w:space="0" w:color="auto"/>
                  </w:divBdr>
                  <w:divsChild>
                    <w:div w:id="835222129">
                      <w:marLeft w:val="0"/>
                      <w:marRight w:val="0"/>
                      <w:marTop w:val="0"/>
                      <w:marBottom w:val="0"/>
                      <w:divBdr>
                        <w:top w:val="none" w:sz="0" w:space="0" w:color="auto"/>
                        <w:left w:val="none" w:sz="0" w:space="0" w:color="auto"/>
                        <w:bottom w:val="none" w:sz="0" w:space="0" w:color="auto"/>
                        <w:right w:val="none" w:sz="0" w:space="0" w:color="auto"/>
                      </w:divBdr>
                      <w:divsChild>
                        <w:div w:id="63106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439235">
      <w:bodyDiv w:val="1"/>
      <w:marLeft w:val="0"/>
      <w:marRight w:val="0"/>
      <w:marTop w:val="0"/>
      <w:marBottom w:val="0"/>
      <w:divBdr>
        <w:top w:val="none" w:sz="0" w:space="0" w:color="auto"/>
        <w:left w:val="none" w:sz="0" w:space="0" w:color="auto"/>
        <w:bottom w:val="none" w:sz="0" w:space="0" w:color="auto"/>
        <w:right w:val="none" w:sz="0" w:space="0" w:color="auto"/>
      </w:divBdr>
    </w:div>
    <w:div w:id="839613844">
      <w:bodyDiv w:val="1"/>
      <w:marLeft w:val="0"/>
      <w:marRight w:val="0"/>
      <w:marTop w:val="0"/>
      <w:marBottom w:val="0"/>
      <w:divBdr>
        <w:top w:val="none" w:sz="0" w:space="0" w:color="auto"/>
        <w:left w:val="none" w:sz="0" w:space="0" w:color="auto"/>
        <w:bottom w:val="none" w:sz="0" w:space="0" w:color="auto"/>
        <w:right w:val="none" w:sz="0" w:space="0" w:color="auto"/>
      </w:divBdr>
      <w:divsChild>
        <w:div w:id="1403598619">
          <w:marLeft w:val="0"/>
          <w:marRight w:val="0"/>
          <w:marTop w:val="0"/>
          <w:marBottom w:val="0"/>
          <w:divBdr>
            <w:top w:val="none" w:sz="0" w:space="0" w:color="auto"/>
            <w:left w:val="none" w:sz="0" w:space="0" w:color="auto"/>
            <w:bottom w:val="none" w:sz="0" w:space="0" w:color="auto"/>
            <w:right w:val="none" w:sz="0" w:space="0" w:color="auto"/>
          </w:divBdr>
          <w:divsChild>
            <w:div w:id="1397584649">
              <w:marLeft w:val="0"/>
              <w:marRight w:val="0"/>
              <w:marTop w:val="0"/>
              <w:marBottom w:val="0"/>
              <w:divBdr>
                <w:top w:val="none" w:sz="0" w:space="0" w:color="auto"/>
                <w:left w:val="none" w:sz="0" w:space="0" w:color="auto"/>
                <w:bottom w:val="none" w:sz="0" w:space="0" w:color="auto"/>
                <w:right w:val="none" w:sz="0" w:space="0" w:color="auto"/>
              </w:divBdr>
              <w:divsChild>
                <w:div w:id="220949097">
                  <w:marLeft w:val="0"/>
                  <w:marRight w:val="0"/>
                  <w:marTop w:val="0"/>
                  <w:marBottom w:val="0"/>
                  <w:divBdr>
                    <w:top w:val="none" w:sz="0" w:space="0" w:color="auto"/>
                    <w:left w:val="none" w:sz="0" w:space="0" w:color="auto"/>
                    <w:bottom w:val="none" w:sz="0" w:space="0" w:color="auto"/>
                    <w:right w:val="none" w:sz="0" w:space="0" w:color="auto"/>
                  </w:divBdr>
                  <w:divsChild>
                    <w:div w:id="881333230">
                      <w:marLeft w:val="0"/>
                      <w:marRight w:val="0"/>
                      <w:marTop w:val="0"/>
                      <w:marBottom w:val="0"/>
                      <w:divBdr>
                        <w:top w:val="none" w:sz="0" w:space="0" w:color="auto"/>
                        <w:left w:val="none" w:sz="0" w:space="0" w:color="auto"/>
                        <w:bottom w:val="none" w:sz="0" w:space="0" w:color="auto"/>
                        <w:right w:val="none" w:sz="0" w:space="0" w:color="auto"/>
                      </w:divBdr>
                      <w:divsChild>
                        <w:div w:id="185383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623363">
      <w:bodyDiv w:val="1"/>
      <w:marLeft w:val="0"/>
      <w:marRight w:val="0"/>
      <w:marTop w:val="0"/>
      <w:marBottom w:val="0"/>
      <w:divBdr>
        <w:top w:val="none" w:sz="0" w:space="0" w:color="auto"/>
        <w:left w:val="none" w:sz="0" w:space="0" w:color="auto"/>
        <w:bottom w:val="none" w:sz="0" w:space="0" w:color="auto"/>
        <w:right w:val="none" w:sz="0" w:space="0" w:color="auto"/>
      </w:divBdr>
    </w:div>
    <w:div w:id="1139766394">
      <w:bodyDiv w:val="1"/>
      <w:marLeft w:val="0"/>
      <w:marRight w:val="0"/>
      <w:marTop w:val="0"/>
      <w:marBottom w:val="0"/>
      <w:divBdr>
        <w:top w:val="none" w:sz="0" w:space="0" w:color="auto"/>
        <w:left w:val="none" w:sz="0" w:space="0" w:color="auto"/>
        <w:bottom w:val="none" w:sz="0" w:space="0" w:color="auto"/>
        <w:right w:val="none" w:sz="0" w:space="0" w:color="auto"/>
      </w:divBdr>
    </w:div>
    <w:div w:id="1575435263">
      <w:bodyDiv w:val="1"/>
      <w:marLeft w:val="0"/>
      <w:marRight w:val="0"/>
      <w:marTop w:val="0"/>
      <w:marBottom w:val="0"/>
      <w:divBdr>
        <w:top w:val="none" w:sz="0" w:space="0" w:color="auto"/>
        <w:left w:val="none" w:sz="0" w:space="0" w:color="auto"/>
        <w:bottom w:val="none" w:sz="0" w:space="0" w:color="auto"/>
        <w:right w:val="none" w:sz="0" w:space="0" w:color="auto"/>
      </w:divBdr>
      <w:divsChild>
        <w:div w:id="536505504">
          <w:marLeft w:val="0"/>
          <w:marRight w:val="0"/>
          <w:marTop w:val="0"/>
          <w:marBottom w:val="0"/>
          <w:divBdr>
            <w:top w:val="none" w:sz="0" w:space="0" w:color="auto"/>
            <w:left w:val="none" w:sz="0" w:space="0" w:color="auto"/>
            <w:bottom w:val="none" w:sz="0" w:space="0" w:color="auto"/>
            <w:right w:val="none" w:sz="0" w:space="0" w:color="auto"/>
          </w:divBdr>
        </w:div>
      </w:divsChild>
    </w:div>
    <w:div w:id="1839466098">
      <w:bodyDiv w:val="1"/>
      <w:marLeft w:val="0"/>
      <w:marRight w:val="0"/>
      <w:marTop w:val="0"/>
      <w:marBottom w:val="0"/>
      <w:divBdr>
        <w:top w:val="none" w:sz="0" w:space="0" w:color="auto"/>
        <w:left w:val="none" w:sz="0" w:space="0" w:color="auto"/>
        <w:bottom w:val="none" w:sz="0" w:space="0" w:color="auto"/>
        <w:right w:val="none" w:sz="0" w:space="0" w:color="auto"/>
      </w:divBdr>
      <w:divsChild>
        <w:div w:id="1482576504">
          <w:marLeft w:val="0"/>
          <w:marRight w:val="0"/>
          <w:marTop w:val="0"/>
          <w:marBottom w:val="0"/>
          <w:divBdr>
            <w:top w:val="none" w:sz="0" w:space="0" w:color="auto"/>
            <w:left w:val="none" w:sz="0" w:space="0" w:color="auto"/>
            <w:bottom w:val="none" w:sz="0" w:space="0" w:color="auto"/>
            <w:right w:val="none" w:sz="0" w:space="0" w:color="auto"/>
          </w:divBdr>
          <w:divsChild>
            <w:div w:id="1046218244">
              <w:marLeft w:val="0"/>
              <w:marRight w:val="0"/>
              <w:marTop w:val="0"/>
              <w:marBottom w:val="0"/>
              <w:divBdr>
                <w:top w:val="none" w:sz="0" w:space="0" w:color="auto"/>
                <w:left w:val="none" w:sz="0" w:space="0" w:color="auto"/>
                <w:bottom w:val="none" w:sz="0" w:space="0" w:color="auto"/>
                <w:right w:val="none" w:sz="0" w:space="0" w:color="auto"/>
              </w:divBdr>
              <w:divsChild>
                <w:div w:id="914583258">
                  <w:marLeft w:val="0"/>
                  <w:marRight w:val="0"/>
                  <w:marTop w:val="0"/>
                  <w:marBottom w:val="0"/>
                  <w:divBdr>
                    <w:top w:val="none" w:sz="0" w:space="0" w:color="auto"/>
                    <w:left w:val="none" w:sz="0" w:space="0" w:color="auto"/>
                    <w:bottom w:val="none" w:sz="0" w:space="0" w:color="auto"/>
                    <w:right w:val="none" w:sz="0" w:space="0" w:color="auto"/>
                  </w:divBdr>
                  <w:divsChild>
                    <w:div w:id="266625145">
                      <w:marLeft w:val="0"/>
                      <w:marRight w:val="0"/>
                      <w:marTop w:val="0"/>
                      <w:marBottom w:val="0"/>
                      <w:divBdr>
                        <w:top w:val="none" w:sz="0" w:space="0" w:color="auto"/>
                        <w:left w:val="none" w:sz="0" w:space="0" w:color="auto"/>
                        <w:bottom w:val="none" w:sz="0" w:space="0" w:color="auto"/>
                        <w:right w:val="none" w:sz="0" w:space="0" w:color="auto"/>
                      </w:divBdr>
                    </w:div>
                    <w:div w:id="87091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A7A699-72E2-D64F-B09D-A76DC0F2B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3424</Words>
  <Characters>19521</Characters>
  <Application>Microsoft Macintosh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Ilčiukas</dc:creator>
  <cp:keywords/>
  <dc:description/>
  <cp:lastModifiedBy>Regvyta Gelumbauskiene</cp:lastModifiedBy>
  <cp:revision>2</cp:revision>
  <cp:lastPrinted>2017-08-30T13:41:00Z</cp:lastPrinted>
  <dcterms:created xsi:type="dcterms:W3CDTF">2017-10-05T16:34:00Z</dcterms:created>
  <dcterms:modified xsi:type="dcterms:W3CDTF">2017-10-05T16:34:00Z</dcterms:modified>
</cp:coreProperties>
</file>